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882BD">
      <w:pPr>
        <w:spacing w:after="100" w:line="324" w:lineRule="auto"/>
        <w:jc w:val="center"/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</w:pPr>
      <w:r>
        <w:rPr>
          <w:rFonts w:hint="default" w:ascii="Times New Roman Regular" w:hAnsi="Times New Roman Regular" w:eastAsia="仿宋" w:cs="Times New Roman Regular"/>
          <w:b/>
          <w:color w:val="1F4E79"/>
          <w:sz w:val="84"/>
          <w:szCs w:val="22"/>
          <w:lang w:val="en-US" w:eastAsia="en-US" w:bidi="ar-SA"/>
        </w:rPr>
        <w:t>TrafficInsight</w:t>
      </w:r>
    </w:p>
    <w:p w14:paraId="72C0E0EC">
      <w:pPr>
        <w:spacing w:after="100" w:line="324" w:lineRule="auto"/>
        <w:jc w:val="center"/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</w:pPr>
      <w:r>
        <w:rPr>
          <w:rFonts w:hint="default" w:ascii="Times New Roman Regular" w:hAnsi="Times New Roman Regular" w:eastAsia="仿宋" w:cs="Times New Roman Regular"/>
          <w:b/>
          <w:color w:val="000000"/>
          <w:sz w:val="44"/>
          <w:szCs w:val="22"/>
          <w:lang w:val="en-US" w:eastAsia="en-US" w:bidi="ar-SA"/>
        </w:rPr>
        <w:t>智慧交通全域态势感知数字孪生教学创新平台</w:t>
      </w:r>
    </w:p>
    <w:p w14:paraId="331A8E1E">
      <w:pPr>
        <w:spacing w:after="100" w:line="324" w:lineRule="auto"/>
        <w:jc w:val="center"/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</w:pPr>
      <w:r>
        <w:rPr>
          <w:rFonts w:hint="default" w:ascii="Times New Roman Regular" w:hAnsi="Times New Roman Regular" w:eastAsia="仿宋" w:cs="Times New Roman Regular"/>
          <w:b/>
          <w:color w:val="1F4E79"/>
          <w:sz w:val="40"/>
          <w:szCs w:val="22"/>
          <w:lang w:val="en-US" w:eastAsia="en-US" w:bidi="ar-SA"/>
        </w:rPr>
        <w:t>系统操作手册</w:t>
      </w:r>
    </w:p>
    <w:p w14:paraId="10A41B29">
      <w:pPr>
        <w:spacing w:after="100" w:line="324" w:lineRule="auto"/>
        <w:jc w:val="center"/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</w:pPr>
      <w:r>
        <w:rPr>
          <w:rFonts w:hint="default" w:ascii="Times New Roman Regular" w:hAnsi="Times New Roman Regular" w:eastAsia="仿宋" w:cs="Times New Roman Regular"/>
          <w:color w:val="505050"/>
          <w:sz w:val="24"/>
          <w:szCs w:val="22"/>
          <w:lang w:val="en-US" w:eastAsia="en-US" w:bidi="ar-SA"/>
        </w:rPr>
        <w:t>面向《智能交通系统》课程的交通运行感知、仿真推演与管控决策实训</w:t>
      </w:r>
    </w:p>
    <w:p w14:paraId="39E6B2D4">
      <w:pPr>
        <w:jc w:val="center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drawing>
          <wp:inline distT="0" distB="0" distL="114300" distR="114300">
            <wp:extent cx="5760720" cy="3288665"/>
            <wp:effectExtent l="0" t="0" r="5080" b="133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9341"/>
      </w:tblGrid>
      <w:tr w14:paraId="6EEF25CD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6AC5FC5B">
            <w:pPr>
              <w:snapToGrid w:val="0"/>
              <w:spacing w:after="0" w:line="276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bookmarkStart w:id="0" w:name="_GoBack"/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项目</w:t>
            </w:r>
          </w:p>
        </w:tc>
        <w:tc>
          <w:tcPr>
            <w:tcW w:w="934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314C6AC7">
            <w:pPr>
              <w:snapToGrid w:val="0"/>
              <w:spacing w:after="0" w:line="276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说明</w:t>
            </w:r>
          </w:p>
        </w:tc>
      </w:tr>
      <w:tr w14:paraId="12C14437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7264184">
            <w:pPr>
              <w:snapToGrid w:val="0"/>
              <w:spacing w:after="0" w:line="276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适用对象</w:t>
            </w:r>
          </w:p>
        </w:tc>
        <w:tc>
          <w:tcPr>
            <w:tcW w:w="934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5A45E7F">
            <w:pPr>
              <w:snapToGrid w:val="0"/>
              <w:spacing w:after="0" w:line="276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交通运输类专业授课教师、学生实训小组、教学建设团队、项目展示人员、专家评审</w:t>
            </w:r>
          </w:p>
        </w:tc>
      </w:tr>
      <w:tr w14:paraId="1F20351C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2D2DE7A">
            <w:pPr>
              <w:snapToGrid w:val="0"/>
              <w:spacing w:after="0" w:line="276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适用课程</w:t>
            </w:r>
          </w:p>
        </w:tc>
        <w:tc>
          <w:tcPr>
            <w:tcW w:w="934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25DB27E">
            <w:pPr>
              <w:snapToGrid w:val="0"/>
              <w:spacing w:after="0" w:line="276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《智能交通系统》为主，兼顾《交通管理与控制》《交通工程学》《交通安全工程》《交通调查与分析》</w:t>
            </w:r>
          </w:p>
        </w:tc>
      </w:tr>
      <w:tr w14:paraId="192BBD91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34DE31D">
            <w:pPr>
              <w:snapToGrid w:val="0"/>
              <w:spacing w:after="0" w:line="276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系统版本</w:t>
            </w:r>
          </w:p>
        </w:tc>
        <w:tc>
          <w:tcPr>
            <w:tcW w:w="934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77B1A1A">
            <w:pPr>
              <w:snapToGrid w:val="0"/>
              <w:spacing w:after="0" w:line="276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离线演示包 20260704 / 教学展示版</w:t>
            </w:r>
          </w:p>
        </w:tc>
      </w:tr>
      <w:tr w14:paraId="04E802D7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10B016D">
            <w:pPr>
              <w:snapToGrid w:val="0"/>
              <w:spacing w:after="0" w:line="276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手册定位</w:t>
            </w:r>
          </w:p>
        </w:tc>
        <w:tc>
          <w:tcPr>
            <w:tcW w:w="934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BFA6250">
            <w:pPr>
              <w:snapToGrid w:val="0"/>
              <w:spacing w:after="0" w:line="276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作为课程实训组织、系统操作培训、科研项目展示和比赛答辩支撑材料</w:t>
            </w:r>
          </w:p>
        </w:tc>
      </w:tr>
      <w:tr w14:paraId="7B2CBCB6">
        <w:trPr>
          <w:trHeight w:val="0" w:hRule="atLeast"/>
          <w:tblHeader/>
          <w:jc w:val="center"/>
        </w:trPr>
        <w:tc>
          <w:tcPr>
            <w:tcW w:w="101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87AC647">
            <w:pPr>
              <w:snapToGrid w:val="0"/>
              <w:spacing w:after="0" w:line="276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核心闭环</w:t>
            </w:r>
          </w:p>
        </w:tc>
        <w:tc>
          <w:tcPr>
            <w:tcW w:w="934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82FE933">
            <w:pPr>
              <w:snapToGrid w:val="0"/>
              <w:spacing w:after="0" w:line="276" w:lineRule="auto"/>
              <w:jc w:val="center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交通数据感知 → 路网数模映射 → 管控方案推演 → 学习评价反馈 → 教学成果沉淀</w:t>
            </w:r>
          </w:p>
        </w:tc>
      </w:tr>
      <w:bookmarkEnd w:id="0"/>
    </w:tbl>
    <w:p w14:paraId="0F051545">
      <w:pPr>
        <w:rPr>
          <w:rFonts w:hint="default" w:ascii="Times New Roman Regular" w:hAnsi="Times New Roman Regular" w:eastAsia="仿宋" w:cs="Times New Roman Regular"/>
        </w:rPr>
      </w:pPr>
    </w:p>
    <w:p w14:paraId="48D5F276">
      <w:pPr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br w:type="page"/>
      </w:r>
    </w:p>
    <w:p w14:paraId="6F027188">
      <w:pPr>
        <w:pStyle w:val="165"/>
        <w:outlineLvl w:val="9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目录</w:t>
      </w:r>
    </w:p>
    <w:p w14:paraId="70E01583">
      <w:pPr>
        <w:pStyle w:val="14"/>
        <w:numPr>
          <w:ilvl w:val="0"/>
          <w:numId w:val="0"/>
        </w:numPr>
        <w:tabs>
          <w:tab w:val="clear" w:pos="360"/>
        </w:tabs>
        <w:ind w:left="360" w:leftChars="0" w:hanging="360" w:firstLineChars="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  <w:t>1.</w:t>
      </w:r>
      <w:r>
        <w:rPr>
          <w:rFonts w:hint="default" w:ascii="Times New Roman Regular" w:hAnsi="Times New Roman Regular" w:eastAsia="仿宋" w:cs="Times New Roman Regular"/>
        </w:rPr>
        <w:t>一、手册使用说明与系统定位</w:t>
      </w:r>
    </w:p>
    <w:p w14:paraId="68A6658F">
      <w:pPr>
        <w:pStyle w:val="14"/>
        <w:numPr>
          <w:ilvl w:val="0"/>
          <w:numId w:val="0"/>
        </w:numPr>
        <w:tabs>
          <w:tab w:val="clear" w:pos="360"/>
        </w:tabs>
        <w:ind w:left="360" w:leftChars="0" w:hanging="360" w:firstLineChars="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  <w:t>2.</w:t>
      </w:r>
      <w:r>
        <w:rPr>
          <w:rFonts w:hint="default" w:ascii="Times New Roman Regular" w:hAnsi="Times New Roman Regular" w:eastAsia="仿宋" w:cs="Times New Roman Regular"/>
        </w:rPr>
        <w:t>二、课程支撑关系与教学目标</w:t>
      </w:r>
    </w:p>
    <w:p w14:paraId="1C90F33C">
      <w:pPr>
        <w:pStyle w:val="14"/>
        <w:numPr>
          <w:ilvl w:val="0"/>
          <w:numId w:val="0"/>
        </w:numPr>
        <w:tabs>
          <w:tab w:val="clear" w:pos="360"/>
        </w:tabs>
        <w:ind w:left="360" w:leftChars="0" w:hanging="360" w:firstLineChars="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  <w:t>3.</w:t>
      </w:r>
      <w:r>
        <w:rPr>
          <w:rFonts w:hint="default" w:ascii="Times New Roman Regular" w:hAnsi="Times New Roman Regular" w:eastAsia="仿宋" w:cs="Times New Roman Regular"/>
        </w:rPr>
        <w:t>三、系统总体架构与技术路线</w:t>
      </w:r>
    </w:p>
    <w:p w14:paraId="359CFCF4">
      <w:pPr>
        <w:pStyle w:val="14"/>
        <w:numPr>
          <w:ilvl w:val="0"/>
          <w:numId w:val="0"/>
        </w:numPr>
        <w:tabs>
          <w:tab w:val="clear" w:pos="360"/>
        </w:tabs>
        <w:ind w:left="360" w:leftChars="0" w:hanging="360" w:firstLineChars="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  <w:t>4.</w:t>
      </w:r>
      <w:r>
        <w:rPr>
          <w:rFonts w:hint="default" w:ascii="Times New Roman Regular" w:hAnsi="Times New Roman Regular" w:eastAsia="仿宋" w:cs="Times New Roman Regular"/>
        </w:rPr>
        <w:t>四、运行环境、离线包与访问方式</w:t>
      </w:r>
    </w:p>
    <w:p w14:paraId="6FFD18DB">
      <w:pPr>
        <w:pStyle w:val="14"/>
        <w:numPr>
          <w:ilvl w:val="0"/>
          <w:numId w:val="0"/>
        </w:numPr>
        <w:tabs>
          <w:tab w:val="clear" w:pos="360"/>
        </w:tabs>
        <w:ind w:left="360" w:leftChars="0" w:hanging="360" w:firstLineChars="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  <w:t>5.</w:t>
      </w:r>
      <w:r>
        <w:rPr>
          <w:rFonts w:hint="default" w:ascii="Times New Roman Regular" w:hAnsi="Times New Roman Regular" w:eastAsia="仿宋" w:cs="Times New Roman Regular"/>
        </w:rPr>
        <w:t>五、角色分工与完整教学闭环</w:t>
      </w:r>
    </w:p>
    <w:p w14:paraId="4379ECC6">
      <w:pPr>
        <w:pStyle w:val="14"/>
        <w:numPr>
          <w:ilvl w:val="0"/>
          <w:numId w:val="0"/>
        </w:numPr>
        <w:tabs>
          <w:tab w:val="clear" w:pos="360"/>
        </w:tabs>
        <w:ind w:left="360" w:leftChars="0" w:hanging="360" w:firstLineChars="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  <w:t>6.</w:t>
      </w:r>
      <w:r>
        <w:rPr>
          <w:rFonts w:hint="default" w:ascii="Times New Roman Regular" w:hAnsi="Times New Roman Regular" w:eastAsia="仿宋" w:cs="Times New Roman Regular"/>
        </w:rPr>
        <w:t>六、作品导览页操作说明</w:t>
      </w:r>
    </w:p>
    <w:p w14:paraId="4031C92F">
      <w:pPr>
        <w:pStyle w:val="14"/>
        <w:numPr>
          <w:ilvl w:val="0"/>
          <w:numId w:val="0"/>
        </w:numPr>
        <w:tabs>
          <w:tab w:val="clear" w:pos="360"/>
        </w:tabs>
        <w:ind w:left="360" w:leftChars="0" w:hanging="360" w:firstLineChars="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  <w:t>7.</w:t>
      </w:r>
      <w:r>
        <w:rPr>
          <w:rFonts w:hint="default" w:ascii="Times New Roman Regular" w:hAnsi="Times New Roman Regular" w:eastAsia="仿宋" w:cs="Times New Roman Regular"/>
        </w:rPr>
        <w:t>七、数字孪生驾驶舱操作说明</w:t>
      </w:r>
    </w:p>
    <w:p w14:paraId="4E9BC44B">
      <w:pPr>
        <w:pStyle w:val="14"/>
        <w:numPr>
          <w:ilvl w:val="0"/>
          <w:numId w:val="0"/>
        </w:numPr>
        <w:tabs>
          <w:tab w:val="clear" w:pos="360"/>
        </w:tabs>
        <w:ind w:left="360" w:leftChars="0" w:hanging="360" w:firstLineChars="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  <w:t>8.</w:t>
      </w:r>
      <w:r>
        <w:rPr>
          <w:rFonts w:hint="default" w:ascii="Times New Roman Regular" w:hAnsi="Times New Roman Regular" w:eastAsia="仿宋" w:cs="Times New Roman Regular"/>
        </w:rPr>
        <w:t>八、数据感知模块操作说明</w:t>
      </w:r>
    </w:p>
    <w:p w14:paraId="75BCED53">
      <w:pPr>
        <w:pStyle w:val="14"/>
        <w:numPr>
          <w:ilvl w:val="0"/>
          <w:numId w:val="0"/>
        </w:numPr>
        <w:tabs>
          <w:tab w:val="clear" w:pos="360"/>
        </w:tabs>
        <w:ind w:left="360" w:leftChars="0" w:hanging="360" w:firstLineChars="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  <w:t>9.</w:t>
      </w:r>
      <w:r>
        <w:rPr>
          <w:rFonts w:hint="default" w:ascii="Times New Roman Regular" w:hAnsi="Times New Roman Regular" w:eastAsia="仿宋" w:cs="Times New Roman Regular"/>
        </w:rPr>
        <w:t>九、3D 数模模块操作说明</w:t>
      </w:r>
    </w:p>
    <w:p w14:paraId="30D7E373">
      <w:pPr>
        <w:pStyle w:val="14"/>
        <w:numPr>
          <w:ilvl w:val="0"/>
          <w:numId w:val="0"/>
        </w:numPr>
        <w:tabs>
          <w:tab w:val="clear" w:pos="360"/>
        </w:tabs>
        <w:ind w:left="360" w:leftChars="0" w:hanging="360" w:firstLineChars="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  <w:t>10.</w:t>
      </w:r>
      <w:r>
        <w:rPr>
          <w:rFonts w:hint="default" w:ascii="Times New Roman Regular" w:hAnsi="Times New Roman Regular" w:eastAsia="仿宋" w:cs="Times New Roman Regular"/>
        </w:rPr>
        <w:t>十、教师端任务组织操作说明</w:t>
      </w:r>
    </w:p>
    <w:p w14:paraId="66F59B71">
      <w:pPr>
        <w:pStyle w:val="14"/>
        <w:numPr>
          <w:ilvl w:val="0"/>
          <w:numId w:val="0"/>
        </w:numPr>
        <w:tabs>
          <w:tab w:val="clear" w:pos="360"/>
        </w:tabs>
        <w:ind w:left="360" w:leftChars="0" w:hanging="360" w:firstLineChars="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  <w:t>11.</w:t>
      </w:r>
      <w:r>
        <w:rPr>
          <w:rFonts w:hint="default" w:ascii="Times New Roman Regular" w:hAnsi="Times New Roman Regular" w:eastAsia="仿宋" w:cs="Times New Roman Regular"/>
        </w:rPr>
        <w:t>十一、学生端实训操作说明</w:t>
      </w:r>
    </w:p>
    <w:p w14:paraId="5B54CA9E">
      <w:pPr>
        <w:pStyle w:val="14"/>
        <w:numPr>
          <w:ilvl w:val="0"/>
          <w:numId w:val="0"/>
        </w:numPr>
        <w:tabs>
          <w:tab w:val="clear" w:pos="360"/>
        </w:tabs>
        <w:ind w:left="360" w:leftChars="0" w:hanging="360" w:firstLineChars="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  <w:t>12.</w:t>
      </w:r>
      <w:r>
        <w:rPr>
          <w:rFonts w:hint="default" w:ascii="Times New Roman Regular" w:hAnsi="Times New Roman Regular" w:eastAsia="仿宋" w:cs="Times New Roman Regular"/>
        </w:rPr>
        <w:t>十二、仿真推演模块操作说明</w:t>
      </w:r>
    </w:p>
    <w:p w14:paraId="01E3BA4D">
      <w:pPr>
        <w:pStyle w:val="14"/>
        <w:numPr>
          <w:ilvl w:val="0"/>
          <w:numId w:val="0"/>
        </w:numPr>
        <w:tabs>
          <w:tab w:val="clear" w:pos="360"/>
        </w:tabs>
        <w:ind w:left="360" w:leftChars="0" w:hanging="360" w:firstLineChars="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  <w:t>13.</w:t>
      </w:r>
      <w:r>
        <w:rPr>
          <w:rFonts w:hint="default" w:ascii="Times New Roman Regular" w:hAnsi="Times New Roman Regular" w:eastAsia="仿宋" w:cs="Times New Roman Regular"/>
        </w:rPr>
        <w:t>十三、评价复盘模块操作说明</w:t>
      </w:r>
    </w:p>
    <w:p w14:paraId="7C2ADB46">
      <w:pPr>
        <w:pStyle w:val="14"/>
        <w:numPr>
          <w:ilvl w:val="0"/>
          <w:numId w:val="0"/>
        </w:numPr>
        <w:tabs>
          <w:tab w:val="clear" w:pos="360"/>
        </w:tabs>
        <w:ind w:left="360" w:leftChars="0" w:hanging="360" w:firstLineChars="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  <w:t>14.</w:t>
      </w:r>
      <w:r>
        <w:rPr>
          <w:rFonts w:hint="default" w:ascii="Times New Roman Regular" w:hAnsi="Times New Roman Regular" w:eastAsia="仿宋" w:cs="Times New Roman Regular"/>
        </w:rPr>
        <w:t>十四、教学成果中心操作说明</w:t>
      </w:r>
    </w:p>
    <w:p w14:paraId="76ADC2B6">
      <w:pPr>
        <w:pStyle w:val="14"/>
        <w:numPr>
          <w:ilvl w:val="0"/>
          <w:numId w:val="0"/>
        </w:numPr>
        <w:tabs>
          <w:tab w:val="clear" w:pos="360"/>
        </w:tabs>
        <w:ind w:left="360" w:leftChars="0" w:hanging="360" w:firstLineChars="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  <w:t>15.</w:t>
      </w:r>
      <w:r>
        <w:rPr>
          <w:rFonts w:hint="default" w:ascii="Times New Roman Regular" w:hAnsi="Times New Roman Regular" w:eastAsia="仿宋" w:cs="Times New Roman Regular"/>
        </w:rPr>
        <w:t>十五、典型课程实训组织方案</w:t>
      </w:r>
    </w:p>
    <w:p w14:paraId="73E05A99">
      <w:pPr>
        <w:pStyle w:val="14"/>
        <w:numPr>
          <w:ilvl w:val="0"/>
          <w:numId w:val="0"/>
        </w:numPr>
        <w:tabs>
          <w:tab w:val="clear" w:pos="360"/>
        </w:tabs>
        <w:ind w:left="360" w:leftChars="0" w:hanging="360" w:firstLineChars="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  <w:t>16.</w:t>
      </w:r>
      <w:r>
        <w:rPr>
          <w:rFonts w:hint="default" w:ascii="Times New Roman Regular" w:hAnsi="Times New Roman Regular" w:eastAsia="仿宋" w:cs="Times New Roman Regular"/>
        </w:rPr>
        <w:t>十六、四类实训项目操作指导</w:t>
      </w:r>
    </w:p>
    <w:p w14:paraId="391B1C62">
      <w:pPr>
        <w:pStyle w:val="14"/>
        <w:numPr>
          <w:ilvl w:val="0"/>
          <w:numId w:val="0"/>
        </w:numPr>
        <w:tabs>
          <w:tab w:val="clear" w:pos="360"/>
        </w:tabs>
        <w:ind w:left="360" w:leftChars="0" w:hanging="360" w:firstLineChars="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  <w:t>17.</w:t>
      </w:r>
      <w:r>
        <w:rPr>
          <w:rFonts w:hint="default" w:ascii="Times New Roman Regular" w:hAnsi="Times New Roman Regular" w:eastAsia="仿宋" w:cs="Times New Roman Regular"/>
        </w:rPr>
        <w:t>十七、学习评价指标体系与证据归档</w:t>
      </w:r>
    </w:p>
    <w:p w14:paraId="05F721D4">
      <w:pPr>
        <w:pStyle w:val="14"/>
        <w:numPr>
          <w:ilvl w:val="0"/>
          <w:numId w:val="0"/>
        </w:numPr>
        <w:tabs>
          <w:tab w:val="clear" w:pos="360"/>
        </w:tabs>
        <w:ind w:left="360" w:leftChars="0" w:hanging="360" w:firstLineChars="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  <w:t>18.</w:t>
      </w:r>
      <w:r>
        <w:rPr>
          <w:rFonts w:hint="default" w:ascii="Times New Roman Regular" w:hAnsi="Times New Roman Regular" w:eastAsia="仿宋" w:cs="Times New Roman Regular"/>
        </w:rPr>
        <w:t>十八、比赛展示与系统演示组织</w:t>
      </w:r>
    </w:p>
    <w:p w14:paraId="07606BD4">
      <w:pPr>
        <w:pStyle w:val="14"/>
        <w:numPr>
          <w:ilvl w:val="0"/>
          <w:numId w:val="0"/>
        </w:numPr>
        <w:tabs>
          <w:tab w:val="clear" w:pos="360"/>
        </w:tabs>
        <w:ind w:left="360" w:leftChars="0" w:hanging="360" w:firstLineChars="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  <w:t>19.</w:t>
      </w:r>
      <w:r>
        <w:rPr>
          <w:rFonts w:hint="default" w:ascii="Times New Roman Regular" w:hAnsi="Times New Roman Regular" w:eastAsia="仿宋" w:cs="Times New Roman Regular"/>
        </w:rPr>
        <w:t>十九、常见问题、维护与版本管理</w:t>
      </w:r>
    </w:p>
    <w:p w14:paraId="40623D32">
      <w:pPr>
        <w:pStyle w:val="14"/>
        <w:numPr>
          <w:ilvl w:val="0"/>
          <w:numId w:val="0"/>
        </w:numPr>
        <w:tabs>
          <w:tab w:val="clear" w:pos="360"/>
        </w:tabs>
        <w:ind w:left="360" w:leftChars="0" w:hanging="360" w:firstLineChars="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  <w:t>20.</w:t>
      </w:r>
      <w:r>
        <w:rPr>
          <w:rFonts w:hint="default" w:ascii="Times New Roman Regular" w:hAnsi="Times New Roman Regular" w:eastAsia="仿宋" w:cs="Times New Roman Regular"/>
        </w:rPr>
        <w:t>附录 A：页面清单与材料清单</w:t>
      </w:r>
    </w:p>
    <w:p w14:paraId="73DA1F3C">
      <w:pPr>
        <w:pStyle w:val="14"/>
        <w:numPr>
          <w:ilvl w:val="0"/>
          <w:numId w:val="0"/>
        </w:numPr>
        <w:tabs>
          <w:tab w:val="clear" w:pos="360"/>
        </w:tabs>
        <w:ind w:left="360" w:leftChars="0" w:hanging="360" w:firstLineChars="0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  <w:sz w:val="21"/>
          <w:szCs w:val="22"/>
          <w:lang w:val="en-US" w:eastAsia="en-US" w:bidi="ar-SA"/>
        </w:rPr>
        <w:t>21.</w:t>
      </w:r>
      <w:r>
        <w:rPr>
          <w:rFonts w:hint="default" w:ascii="Times New Roman Regular" w:hAnsi="Times New Roman Regular" w:eastAsia="仿宋" w:cs="Times New Roman Regular"/>
        </w:rPr>
        <w:t>附录 B：术语说明与讲解口径</w:t>
      </w:r>
    </w:p>
    <w:p w14:paraId="6774D60E">
      <w:pPr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br w:type="page"/>
      </w:r>
    </w:p>
    <w:p w14:paraId="48519915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手册使用说明与系统定位</w:t>
      </w:r>
    </w:p>
    <w:p w14:paraId="71AB4AEF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本手册面向高校交通运输类专业课程教学、科研项目展示和教学数字化创新比赛申报使用。手册在展示版操作指南基础上进一步扩展了课程应用目标、教学组织流程、角色操作步骤、评价证据归档和比赛演示要求，使系统不仅能够“打开与展示”，也能够支撑课堂实训、学生学习评价和科研成果说明。</w:t>
      </w:r>
    </w:p>
    <w:tbl>
      <w:tblPr>
        <w:tblStyle w:val="3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8"/>
      </w:tblGrid>
      <w:tr w14:paraId="02791987">
        <w:trPr>
          <w:jc w:val="center"/>
        </w:trPr>
        <w:tc>
          <w:tcPr>
            <w:tcW w:w="5000" w:type="pct"/>
            <w:tcBorders>
              <w:top w:val="single" w:color="8BB7E8" w:sz="8" w:space="0"/>
              <w:left w:val="single" w:color="8BB7E8" w:sz="8" w:space="0"/>
              <w:bottom w:val="single" w:color="8BB7E8" w:sz="8" w:space="0"/>
              <w:right w:val="single" w:color="8BB7E8" w:sz="8" w:space="0"/>
            </w:tcBorders>
            <w:shd w:val="clear" w:color="auto" w:fill="EAF3FF"/>
          </w:tcPr>
          <w:p w14:paraId="5CDC5841">
            <w:pPr>
              <w:spacing w:after="60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1F4E79"/>
                <w:sz w:val="21"/>
              </w:rPr>
              <w:t>使用原则</w:t>
            </w:r>
          </w:p>
          <w:p w14:paraId="2D915EBB">
            <w:pPr>
              <w:spacing w:line="288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系统界面用于真实教学演示，PPT和项目报告用于解释赛道契合与评分逻辑。系统中应尽量使用“教学样例数据”“数字孪生教学应用”等自然术语，避免在业务页面中过度出现赛道编号或评分表述。</w:t>
            </w:r>
          </w:p>
        </w:tc>
      </w:tr>
    </w:tbl>
    <w:p w14:paraId="3908FB3B">
      <w:pPr>
        <w:rPr>
          <w:rFonts w:hint="default" w:ascii="Times New Roman Regular" w:hAnsi="Times New Roman Regular" w:eastAsia="仿宋" w:cs="Times New Roman Regular"/>
        </w:rPr>
      </w:pPr>
    </w:p>
    <w:p w14:paraId="13C0CB85">
      <w:pPr>
        <w:pStyle w:val="4"/>
        <w:numPr>
          <w:ilvl w:val="0"/>
          <w:numId w:val="8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系统定位</w:t>
      </w:r>
    </w:p>
    <w:p w14:paraId="58B17783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TrafficInsight 是面向《智能交通系统》课程的智慧交通数字孪生教学平台。系统以城市片区路网、局部交叉口和典型交通事件为对象，通过教学仿真样例数据驱动 GIS 路网、局部 3D 交叉口、信号机、检测器、车辆流、事故点、管制区域与绕行路线，实现交通运行态势感知、仿真预测、信号优化、事件管控、学生实训和评价复盘的一体化教学应用。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9145"/>
      </w:tblGrid>
      <w:tr w14:paraId="03B93558">
        <w:trPr>
          <w:trHeight w:val="0" w:hRule="atLeast"/>
          <w:tblHeader/>
          <w:jc w:val="center"/>
        </w:trPr>
        <w:tc>
          <w:tcPr>
            <w:tcW w:w="121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69403CF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项目</w:t>
            </w:r>
          </w:p>
        </w:tc>
        <w:tc>
          <w:tcPr>
            <w:tcW w:w="914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38E7873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说明</w:t>
            </w:r>
          </w:p>
        </w:tc>
      </w:tr>
      <w:tr w14:paraId="35065405">
        <w:trPr>
          <w:trHeight w:val="0" w:hRule="atLeast"/>
          <w:jc w:val="center"/>
        </w:trPr>
        <w:tc>
          <w:tcPr>
            <w:tcW w:w="121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21BE01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教学定位</w:t>
            </w:r>
          </w:p>
        </w:tc>
        <w:tc>
          <w:tcPr>
            <w:tcW w:w="914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0516F9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把真实智慧交通业务流程转化为课程实训任务，形成可观察、可操作、可推演、可评价的课堂教学环境。</w:t>
            </w:r>
          </w:p>
        </w:tc>
      </w:tr>
      <w:tr w14:paraId="6A86CD1B">
        <w:trPr>
          <w:trHeight w:val="0" w:hRule="atLeast"/>
          <w:jc w:val="center"/>
        </w:trPr>
        <w:tc>
          <w:tcPr>
            <w:tcW w:w="121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F769E4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技术定位</w:t>
            </w:r>
          </w:p>
        </w:tc>
        <w:tc>
          <w:tcPr>
            <w:tcW w:w="914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EE30AA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以交通运行样例数据为基础，以 GIS/3D 数模映射为载体，支撑交通监控、预测、优化、控制和教学评价。</w:t>
            </w:r>
          </w:p>
        </w:tc>
      </w:tr>
      <w:tr w14:paraId="13140730">
        <w:trPr>
          <w:trHeight w:val="0" w:hRule="atLeast"/>
          <w:jc w:val="center"/>
        </w:trPr>
        <w:tc>
          <w:tcPr>
            <w:tcW w:w="121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1FE9E5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应用定位</w:t>
            </w:r>
          </w:p>
        </w:tc>
        <w:tc>
          <w:tcPr>
            <w:tcW w:w="914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8F2D70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服务课程实训、项目汇报、比赛答辩、成果展示和后续教学资源建设。</w:t>
            </w:r>
          </w:p>
        </w:tc>
      </w:tr>
      <w:tr w14:paraId="3760A11B">
        <w:trPr>
          <w:trHeight w:val="0" w:hRule="atLeast"/>
          <w:jc w:val="center"/>
        </w:trPr>
        <w:tc>
          <w:tcPr>
            <w:tcW w:w="121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F5A00B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边界说明</w:t>
            </w:r>
          </w:p>
        </w:tc>
        <w:tc>
          <w:tcPr>
            <w:tcW w:w="914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FDE6BC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当前系统为教学演示版，采用教学仿真样例数据验证流程与方法，后续可接入真实交通数据接口和更精细化仿真模型。</w:t>
            </w:r>
          </w:p>
        </w:tc>
      </w:tr>
    </w:tbl>
    <w:p w14:paraId="36F3A0DE">
      <w:pPr>
        <w:rPr>
          <w:rFonts w:hint="default" w:ascii="Times New Roman Regular" w:hAnsi="Times New Roman Regular" w:eastAsia="仿宋" w:cs="Times New Roman Regular"/>
        </w:rPr>
      </w:pPr>
    </w:p>
    <w:p w14:paraId="298CE1DF">
      <w:pPr>
        <w:pStyle w:val="4"/>
        <w:numPr>
          <w:ilvl w:val="0"/>
          <w:numId w:val="8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使用对象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4464"/>
        <w:gridCol w:w="4310"/>
      </w:tblGrid>
      <w:tr w14:paraId="13443468">
        <w:trPr>
          <w:trHeight w:val="0" w:hRule="atLeast"/>
          <w:tblHeader/>
          <w:jc w:val="center"/>
        </w:trPr>
        <w:tc>
          <w:tcPr>
            <w:tcW w:w="158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F36401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对象</w:t>
            </w:r>
          </w:p>
        </w:tc>
        <w:tc>
          <w:tcPr>
            <w:tcW w:w="446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14F534D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主要用途</w:t>
            </w:r>
          </w:p>
        </w:tc>
        <w:tc>
          <w:tcPr>
            <w:tcW w:w="431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4C39196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使用重点</w:t>
            </w:r>
          </w:p>
        </w:tc>
      </w:tr>
      <w:tr w14:paraId="2B2DF6B2">
        <w:trPr>
          <w:trHeight w:val="0" w:hRule="atLeast"/>
          <w:jc w:val="center"/>
        </w:trPr>
        <w:tc>
          <w:tcPr>
            <w:tcW w:w="158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A81912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授课教师</w:t>
            </w:r>
          </w:p>
        </w:tc>
        <w:tc>
          <w:tcPr>
            <w:tcW w:w="446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4FE0EF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组织课程实训、发布任务、查看学生成果、开展评价复盘</w:t>
            </w:r>
          </w:p>
        </w:tc>
        <w:tc>
          <w:tcPr>
            <w:tcW w:w="431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420BFC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重点使用作品导览、教师端、评价复盘和教学成果中心</w:t>
            </w:r>
          </w:p>
        </w:tc>
      </w:tr>
      <w:tr w14:paraId="196DAF70">
        <w:trPr>
          <w:trHeight w:val="0" w:hRule="atLeast"/>
          <w:jc w:val="center"/>
        </w:trPr>
        <w:tc>
          <w:tcPr>
            <w:tcW w:w="158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A507B9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学生小组</w:t>
            </w:r>
          </w:p>
        </w:tc>
        <w:tc>
          <w:tcPr>
            <w:tcW w:w="446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A2A37C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完成交通数据分析、数模观察、方案设计和报告提交</w:t>
            </w:r>
          </w:p>
        </w:tc>
        <w:tc>
          <w:tcPr>
            <w:tcW w:w="431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57272A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重点使用数据感知、3D 数模、学生端和仿真推演</w:t>
            </w:r>
          </w:p>
        </w:tc>
      </w:tr>
      <w:tr w14:paraId="55F207E4">
        <w:trPr>
          <w:trHeight w:val="0" w:hRule="atLeast"/>
          <w:jc w:val="center"/>
        </w:trPr>
        <w:tc>
          <w:tcPr>
            <w:tcW w:w="158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53DD41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教学建设团队</w:t>
            </w:r>
          </w:p>
        </w:tc>
        <w:tc>
          <w:tcPr>
            <w:tcW w:w="446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4480B0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说明系统架构、课程支撑、资源沉淀和推广价值</w:t>
            </w:r>
          </w:p>
        </w:tc>
        <w:tc>
          <w:tcPr>
            <w:tcW w:w="431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C27E18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重点使用总体框架、成果中心和支撑材料清单</w:t>
            </w:r>
          </w:p>
        </w:tc>
      </w:tr>
      <w:tr w14:paraId="44CE2459">
        <w:trPr>
          <w:trHeight w:val="0" w:hRule="atLeast"/>
          <w:jc w:val="center"/>
        </w:trPr>
        <w:tc>
          <w:tcPr>
            <w:tcW w:w="158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C4353B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展示人员</w:t>
            </w:r>
          </w:p>
        </w:tc>
        <w:tc>
          <w:tcPr>
            <w:tcW w:w="446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6A7958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完成项目介绍、系统演示和答辩讲解</w:t>
            </w:r>
          </w:p>
        </w:tc>
        <w:tc>
          <w:tcPr>
            <w:tcW w:w="431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B86D9D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重点使用教学演示模式和标准演示路径</w:t>
            </w:r>
          </w:p>
        </w:tc>
      </w:tr>
      <w:tr w14:paraId="4FB35CD4">
        <w:trPr>
          <w:trHeight w:val="0" w:hRule="atLeast"/>
          <w:jc w:val="center"/>
        </w:trPr>
        <w:tc>
          <w:tcPr>
            <w:tcW w:w="158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91943E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专家评审</w:t>
            </w:r>
          </w:p>
        </w:tc>
        <w:tc>
          <w:tcPr>
            <w:tcW w:w="446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44778E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了解技术成熟度、实用价值和教学创新应用</w:t>
            </w:r>
          </w:p>
        </w:tc>
        <w:tc>
          <w:tcPr>
            <w:tcW w:w="431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BE390F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重点查看系统链接、演示视频、项目报告和手册材料</w:t>
            </w:r>
          </w:p>
        </w:tc>
      </w:tr>
    </w:tbl>
    <w:p w14:paraId="3B8DF57F">
      <w:pPr>
        <w:rPr>
          <w:rFonts w:hint="default" w:ascii="Times New Roman Regular" w:hAnsi="Times New Roman Regular" w:eastAsia="仿宋" w:cs="Times New Roman Regular"/>
        </w:rPr>
      </w:pPr>
    </w:p>
    <w:p w14:paraId="166325AC">
      <w:pPr>
        <w:pStyle w:val="4"/>
        <w:numPr>
          <w:ilvl w:val="0"/>
          <w:numId w:val="8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本手册建议阅读方式</w:t>
      </w:r>
    </w:p>
    <w:p w14:paraId="382E82F0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首次使用系统：先阅读“运行环境与访问方式”，确认系统能够正常打开。</w:t>
      </w:r>
    </w:p>
    <w:p w14:paraId="3C8FE914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准备课程实训：重点阅读“课程支撑关系”“教师端”“学生端”“评价复盘”和“四类实训项目操作指导”。</w:t>
      </w:r>
    </w:p>
    <w:p w14:paraId="0E236740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准备比赛答辩：重点阅读“系统总体架构”“标准演示路径”“比赛展示组织”和“材料清单”。</w:t>
      </w:r>
    </w:p>
    <w:p w14:paraId="7457C7D3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准备项目报告：重点阅读“技术路线”“数据与数模双驱动”“评价证据归档”和“教学成果中心”。</w:t>
      </w:r>
    </w:p>
    <w:p w14:paraId="5AE39BB0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课程支撑关系与教学目标</w:t>
      </w:r>
    </w:p>
    <w:p w14:paraId="5C56F09E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系统以《智能交通系统》课程为主线，围绕“交通状态感知—数据分析—交通控制—事件管控—智能决策—评价复盘”的教学内容进行重构。平台不是单纯展示交通数据，而是把交通数据和交通对象映射为学生可操作的实训任务。</w:t>
      </w:r>
    </w:p>
    <w:p w14:paraId="45ED3636">
      <w:pPr>
        <w:pStyle w:val="4"/>
        <w:numPr>
          <w:ilvl w:val="0"/>
          <w:numId w:val="9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课程知识点映射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4231"/>
        <w:gridCol w:w="4353"/>
      </w:tblGrid>
      <w:tr w14:paraId="7D94C0AA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11CCB59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课程知识点</w:t>
            </w:r>
          </w:p>
        </w:tc>
        <w:tc>
          <w:tcPr>
            <w:tcW w:w="42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37F7F47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系统支撑模块</w:t>
            </w:r>
          </w:p>
        </w:tc>
        <w:tc>
          <w:tcPr>
            <w:tcW w:w="435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622DF4E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学生能力目标</w:t>
            </w:r>
          </w:p>
        </w:tc>
      </w:tr>
      <w:tr w14:paraId="77336C0B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0097A1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交通信息采集与检测</w:t>
            </w:r>
          </w:p>
        </w:tc>
        <w:tc>
          <w:tcPr>
            <w:tcW w:w="42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260355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数据感知、检测器对象、视频检测器、ETC 超速评估</w:t>
            </w:r>
          </w:p>
        </w:tc>
        <w:tc>
          <w:tcPr>
            <w:tcW w:w="435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A47AE9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理解交通数据来源，能判断数据指标含义与采集边界。</w:t>
            </w:r>
          </w:p>
        </w:tc>
      </w:tr>
      <w:tr w14:paraId="71D6C9EA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228A99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交通状态评价</w:t>
            </w:r>
          </w:p>
        </w:tc>
        <w:tc>
          <w:tcPr>
            <w:tcW w:w="42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99919C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数字孪生驾驶舱、通行指数、速度、流量、排队长度</w:t>
            </w:r>
          </w:p>
        </w:tc>
        <w:tc>
          <w:tcPr>
            <w:tcW w:w="435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FD1799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能基于指标判断拥堵、缓行、畅通和异常状态。</w:t>
            </w:r>
          </w:p>
        </w:tc>
      </w:tr>
      <w:tr w14:paraId="5109C665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8CAF87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信号控制与优化</w:t>
            </w:r>
          </w:p>
        </w:tc>
        <w:tc>
          <w:tcPr>
            <w:tcW w:w="42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666B34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学生端、仿真推演、信号周期、绿信比、相位方案</w:t>
            </w:r>
          </w:p>
        </w:tc>
        <w:tc>
          <w:tcPr>
            <w:tcW w:w="435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23099B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能设置控制参数，比较优化前后指标变化。</w:t>
            </w:r>
          </w:p>
        </w:tc>
      </w:tr>
      <w:tr w14:paraId="76432CD8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4E5AC6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交通事件管控</w:t>
            </w:r>
          </w:p>
        </w:tc>
        <w:tc>
          <w:tcPr>
            <w:tcW w:w="42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4079AA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事故态势、事件点、管制区域、绕行路线、应急评分</w:t>
            </w:r>
          </w:p>
        </w:tc>
        <w:tc>
          <w:tcPr>
            <w:tcW w:w="435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25A1F7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能识别事件影响范围并制定管控策略。</w:t>
            </w:r>
          </w:p>
        </w:tc>
      </w:tr>
      <w:tr w14:paraId="66272574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B3A104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智能交通决策支持</w:t>
            </w:r>
          </w:p>
        </w:tc>
        <w:tc>
          <w:tcPr>
            <w:tcW w:w="42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5CAE6B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3D 数模、方案推演、系统点评、评价复盘</w:t>
            </w:r>
          </w:p>
        </w:tc>
        <w:tc>
          <w:tcPr>
            <w:tcW w:w="435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B11A7D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能解释系统推演结果并形成决策依据。</w:t>
            </w:r>
          </w:p>
        </w:tc>
      </w:tr>
      <w:tr w14:paraId="2098AA77">
        <w:trPr>
          <w:trHeight w:val="0" w:hRule="atLeast"/>
          <w:jc w:val="center"/>
        </w:trPr>
        <w:tc>
          <w:tcPr>
            <w:tcW w:w="177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4F08DC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课程评价与复盘</w:t>
            </w:r>
          </w:p>
        </w:tc>
        <w:tc>
          <w:tcPr>
            <w:tcW w:w="42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7AD296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评价复盘、能力雷达、操作时间线、实训报告导出</w:t>
            </w:r>
          </w:p>
        </w:tc>
        <w:tc>
          <w:tcPr>
            <w:tcW w:w="435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B02A89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能完成学习证据归档和结构化反思。</w:t>
            </w:r>
          </w:p>
        </w:tc>
      </w:tr>
    </w:tbl>
    <w:p w14:paraId="0C040513">
      <w:pPr>
        <w:rPr>
          <w:rFonts w:hint="default" w:ascii="Times New Roman Regular" w:hAnsi="Times New Roman Regular" w:eastAsia="仿宋" w:cs="Times New Roman Regular"/>
        </w:rPr>
      </w:pPr>
    </w:p>
    <w:p w14:paraId="44584CF1">
      <w:pPr>
        <w:pStyle w:val="4"/>
        <w:numPr>
          <w:ilvl w:val="0"/>
          <w:numId w:val="9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教学目标设计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4720"/>
        <w:gridCol w:w="4390"/>
      </w:tblGrid>
      <w:tr w14:paraId="70FAEEB6">
        <w:trPr>
          <w:trHeight w:val="0" w:hRule="atLeast"/>
          <w:tblHeader/>
          <w:jc w:val="center"/>
        </w:trPr>
        <w:tc>
          <w:tcPr>
            <w:tcW w:w="124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0512766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目标类型</w:t>
            </w:r>
          </w:p>
        </w:tc>
        <w:tc>
          <w:tcPr>
            <w:tcW w:w="472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09C9B07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目标描述</w:t>
            </w:r>
          </w:p>
        </w:tc>
        <w:tc>
          <w:tcPr>
            <w:tcW w:w="438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D40B53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系统实现方式</w:t>
            </w:r>
          </w:p>
        </w:tc>
      </w:tr>
      <w:tr w14:paraId="0DDFB4AF">
        <w:trPr>
          <w:trHeight w:val="0" w:hRule="atLeast"/>
          <w:jc w:val="center"/>
        </w:trPr>
        <w:tc>
          <w:tcPr>
            <w:tcW w:w="124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8F67B6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知识目标</w:t>
            </w:r>
          </w:p>
        </w:tc>
        <w:tc>
          <w:tcPr>
            <w:tcW w:w="472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5395F8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掌握交通运行状态、信号控制、交通事件和评价指标的基本概念。</w:t>
            </w:r>
          </w:p>
        </w:tc>
        <w:tc>
          <w:tcPr>
            <w:tcW w:w="438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1DCF64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通过数据卡片、状态表、3D对象和图例说明帮助学生建立概念。</w:t>
            </w:r>
          </w:p>
        </w:tc>
      </w:tr>
      <w:tr w14:paraId="70951DB2">
        <w:trPr>
          <w:trHeight w:val="0" w:hRule="atLeast"/>
          <w:jc w:val="center"/>
        </w:trPr>
        <w:tc>
          <w:tcPr>
            <w:tcW w:w="124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D1E067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能力目标</w:t>
            </w:r>
          </w:p>
        </w:tc>
        <w:tc>
          <w:tcPr>
            <w:tcW w:w="472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73702A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具备交通数据读取、拥堵诊断、方案设计、仿真解释和复盘表达能力。</w:t>
            </w:r>
          </w:p>
        </w:tc>
        <w:tc>
          <w:tcPr>
            <w:tcW w:w="438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E0BF1BE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通过学生端操作、参数设置、仿真推演和报告生成完成能力训练。</w:t>
            </w:r>
          </w:p>
        </w:tc>
      </w:tr>
      <w:tr w14:paraId="4DA34464">
        <w:trPr>
          <w:trHeight w:val="0" w:hRule="atLeast"/>
          <w:jc w:val="center"/>
        </w:trPr>
        <w:tc>
          <w:tcPr>
            <w:tcW w:w="124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38D3A6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素养目标</w:t>
            </w:r>
          </w:p>
        </w:tc>
        <w:tc>
          <w:tcPr>
            <w:tcW w:w="472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4966DE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形成数据驱动、系统思维和安全治理意识。</w:t>
            </w:r>
          </w:p>
        </w:tc>
        <w:tc>
          <w:tcPr>
            <w:tcW w:w="438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9A2AF5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通过事件管控场景、二次事故风险和教学提示引导学生综合判断。</w:t>
            </w:r>
          </w:p>
        </w:tc>
      </w:tr>
      <w:tr w14:paraId="7C2C0CA9">
        <w:trPr>
          <w:trHeight w:val="0" w:hRule="atLeast"/>
          <w:jc w:val="center"/>
        </w:trPr>
        <w:tc>
          <w:tcPr>
            <w:tcW w:w="124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233609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创新目标</w:t>
            </w:r>
          </w:p>
        </w:tc>
        <w:tc>
          <w:tcPr>
            <w:tcW w:w="472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C73022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理解智慧交通数字孪生技术在教学和行业中的应用价值。</w:t>
            </w:r>
          </w:p>
        </w:tc>
        <w:tc>
          <w:tcPr>
            <w:tcW w:w="438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13E1D8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通过 GIS/3D 数模、双驱动说明和成果中心展示技术融合路径。</w:t>
            </w:r>
          </w:p>
        </w:tc>
      </w:tr>
    </w:tbl>
    <w:p w14:paraId="389B5C3D">
      <w:pPr>
        <w:rPr>
          <w:rFonts w:hint="default" w:ascii="Times New Roman Regular" w:hAnsi="Times New Roman Regular" w:eastAsia="仿宋" w:cs="Times New Roman Regular"/>
        </w:rPr>
      </w:pPr>
    </w:p>
    <w:tbl>
      <w:tblPr>
        <w:tblStyle w:val="3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8"/>
      </w:tblGrid>
      <w:tr w14:paraId="65FBE04B">
        <w:trPr>
          <w:jc w:val="center"/>
        </w:trPr>
        <w:tc>
          <w:tcPr>
            <w:tcW w:w="5000" w:type="pct"/>
            <w:tcBorders>
              <w:top w:val="single" w:color="8BB7E8" w:sz="8" w:space="0"/>
              <w:left w:val="single" w:color="8BB7E8" w:sz="8" w:space="0"/>
              <w:bottom w:val="single" w:color="8BB7E8" w:sz="8" w:space="0"/>
              <w:right w:val="single" w:color="8BB7E8" w:sz="8" w:space="0"/>
            </w:tcBorders>
            <w:shd w:val="clear" w:color="auto" w:fill="EAF3FF"/>
          </w:tcPr>
          <w:p w14:paraId="41618013">
            <w:pPr>
              <w:spacing w:after="60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1F4E79"/>
                <w:sz w:val="21"/>
              </w:rPr>
              <w:t>教学提示</w:t>
            </w:r>
          </w:p>
          <w:p w14:paraId="35D8F2FD">
            <w:pPr>
              <w:spacing w:line="288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教师使用系统时，不宜只介绍页面功能，应始终围绕“学生要完成什么任务、依据什么数据判断、提出什么方案、系统如何推演、教师如何评价”展开。</w:t>
            </w:r>
          </w:p>
        </w:tc>
      </w:tr>
    </w:tbl>
    <w:p w14:paraId="615B88A9">
      <w:pPr>
        <w:rPr>
          <w:rFonts w:hint="default" w:ascii="Times New Roman Regular" w:hAnsi="Times New Roman Regular" w:eastAsia="仿宋" w:cs="Times New Roman Regular"/>
        </w:rPr>
      </w:pPr>
    </w:p>
    <w:p w14:paraId="062B57D2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系统总体架构与技术路线</w:t>
      </w:r>
    </w:p>
    <w:p w14:paraId="57092AC3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系统总体框架可概括为“一课一平台、双驱动、三引擎、四场景、五闭环、六成果”。该框架既说明系统技术逻辑，也说明课程教学组织逻辑。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9331"/>
      </w:tblGrid>
      <w:tr w14:paraId="22505288">
        <w:trPr>
          <w:trHeight w:val="0" w:hRule="atLeast"/>
          <w:tblHeader/>
          <w:jc w:val="center"/>
        </w:trPr>
        <w:tc>
          <w:tcPr>
            <w:tcW w:w="102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73A99C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项目</w:t>
            </w:r>
          </w:p>
        </w:tc>
        <w:tc>
          <w:tcPr>
            <w:tcW w:w="93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0276F00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说明</w:t>
            </w:r>
          </w:p>
        </w:tc>
      </w:tr>
      <w:tr w14:paraId="47DBD2BD">
        <w:trPr>
          <w:trHeight w:val="0" w:hRule="atLeast"/>
          <w:jc w:val="center"/>
        </w:trPr>
        <w:tc>
          <w:tcPr>
            <w:tcW w:w="102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67AD9D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一课</w:t>
            </w:r>
          </w:p>
        </w:tc>
        <w:tc>
          <w:tcPr>
            <w:tcW w:w="93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072CAE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以《智能交通系统》为核心课程，兼顾交通管理与控制、交通工程学、交通安全工程。</w:t>
            </w:r>
          </w:p>
        </w:tc>
      </w:tr>
      <w:tr w14:paraId="44C27F23">
        <w:trPr>
          <w:trHeight w:val="0" w:hRule="atLeast"/>
          <w:jc w:val="center"/>
        </w:trPr>
        <w:tc>
          <w:tcPr>
            <w:tcW w:w="102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012418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一平台</w:t>
            </w:r>
          </w:p>
        </w:tc>
        <w:tc>
          <w:tcPr>
            <w:tcW w:w="93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129A01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TrafficInsight 智慧交通全域态势感知数字孪生教学创新平台。</w:t>
            </w:r>
          </w:p>
        </w:tc>
      </w:tr>
      <w:tr w14:paraId="3C964AD8">
        <w:trPr>
          <w:trHeight w:val="0" w:hRule="atLeast"/>
          <w:jc w:val="center"/>
        </w:trPr>
        <w:tc>
          <w:tcPr>
            <w:tcW w:w="102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6D7FB9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双驱动</w:t>
            </w:r>
          </w:p>
        </w:tc>
        <w:tc>
          <w:tcPr>
            <w:tcW w:w="93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53FD14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交通运行样例数据驱动 + GIS/局部 3D 数模驱动。</w:t>
            </w:r>
          </w:p>
        </w:tc>
      </w:tr>
      <w:tr w14:paraId="7B7189A2">
        <w:trPr>
          <w:trHeight w:val="0" w:hRule="atLeast"/>
          <w:jc w:val="center"/>
        </w:trPr>
        <w:tc>
          <w:tcPr>
            <w:tcW w:w="102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CE3D07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三引擎</w:t>
            </w:r>
          </w:p>
        </w:tc>
        <w:tc>
          <w:tcPr>
            <w:tcW w:w="93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0D5F35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态势感知引擎、仿真推演引擎、教学评价引擎。</w:t>
            </w:r>
          </w:p>
        </w:tc>
      </w:tr>
      <w:tr w14:paraId="13D54925">
        <w:trPr>
          <w:trHeight w:val="0" w:hRule="atLeast"/>
          <w:jc w:val="center"/>
        </w:trPr>
        <w:tc>
          <w:tcPr>
            <w:tcW w:w="102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B457D2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四场景</w:t>
            </w:r>
          </w:p>
        </w:tc>
        <w:tc>
          <w:tcPr>
            <w:tcW w:w="93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641D31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路网态势感知、交叉口信号优化、交通事件管控、重点区域综合治理。</w:t>
            </w:r>
          </w:p>
        </w:tc>
      </w:tr>
      <w:tr w14:paraId="075EF5CD">
        <w:trPr>
          <w:trHeight w:val="0" w:hRule="atLeast"/>
          <w:jc w:val="center"/>
        </w:trPr>
        <w:tc>
          <w:tcPr>
            <w:tcW w:w="102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C5FDA2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五闭环</w:t>
            </w:r>
          </w:p>
        </w:tc>
        <w:tc>
          <w:tcPr>
            <w:tcW w:w="93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69A183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感知—诊断—决策—推演—复盘。</w:t>
            </w:r>
          </w:p>
        </w:tc>
      </w:tr>
      <w:tr w14:paraId="270CD081">
        <w:trPr>
          <w:trHeight w:val="0" w:hRule="atLeast"/>
          <w:jc w:val="center"/>
        </w:trPr>
        <w:tc>
          <w:tcPr>
            <w:tcW w:w="102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72D4F1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六成果</w:t>
            </w:r>
          </w:p>
        </w:tc>
        <w:tc>
          <w:tcPr>
            <w:tcW w:w="93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7A7EFF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平台成果、数据成果、模型成果、场景成果、评价成果、应用成果。</w:t>
            </w:r>
          </w:p>
        </w:tc>
      </w:tr>
    </w:tbl>
    <w:p w14:paraId="41A62D5C">
      <w:pPr>
        <w:rPr>
          <w:rFonts w:hint="default" w:ascii="Times New Roman Regular" w:hAnsi="Times New Roman Regular" w:eastAsia="仿宋" w:cs="Times New Roman Regular"/>
        </w:rPr>
      </w:pPr>
    </w:p>
    <w:p w14:paraId="7DEC88D5">
      <w:pPr>
        <w:jc w:val="center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drawing>
          <wp:inline distT="0" distB="0" distL="114300" distR="114300">
            <wp:extent cx="5852160" cy="4389120"/>
            <wp:effectExtent l="0" t="0" r="1524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F4BAA">
      <w:pPr>
        <w:pStyle w:val="166"/>
        <w:widowControl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图 3-1  系统标准演示路径与教学闭环操作图</w:t>
      </w:r>
    </w:p>
    <w:p w14:paraId="001546F7">
      <w:pPr>
        <w:pStyle w:val="4"/>
        <w:numPr>
          <w:ilvl w:val="0"/>
          <w:numId w:val="10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数据驱动逻辑</w:t>
      </w:r>
    </w:p>
    <w:p w14:paraId="2C6360C0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数据驱动并不等同于简单显示图表。系统将流量、速度、排队长度、事故、违法、ETC 超速和信号状态等教学样例数据转化为路网状态、车辆密度、风险标记、任务提示和评价依据。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4"/>
        <w:gridCol w:w="3861"/>
        <w:gridCol w:w="4541"/>
      </w:tblGrid>
      <w:tr w14:paraId="62B64484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1718657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数据类型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622AF9A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对应页面</w:t>
            </w:r>
          </w:p>
        </w:tc>
        <w:tc>
          <w:tcPr>
            <w:tcW w:w="454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0D256D5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教学作用</w:t>
            </w:r>
          </w:p>
        </w:tc>
      </w:tr>
      <w:tr w14:paraId="26883A5C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DCCD75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流量/速度数据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AEC3CC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驾驶舱、数据感知、3D 数模、仿真推演</w:t>
            </w:r>
          </w:p>
        </w:tc>
        <w:tc>
          <w:tcPr>
            <w:tcW w:w="454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DF1797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判断交通需求强度、运行效率和拥堵变化。</w:t>
            </w:r>
          </w:p>
        </w:tc>
      </w:tr>
      <w:tr w14:paraId="36BF2C3B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A0C6A0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排队长度/拥堵指数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1F3819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3D 数模、学生端、仿真推演</w:t>
            </w:r>
          </w:p>
        </w:tc>
        <w:tc>
          <w:tcPr>
            <w:tcW w:w="454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093EC5E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判断进口道瓶颈和优化方案效果。</w:t>
            </w:r>
          </w:p>
        </w:tc>
      </w:tr>
      <w:tr w14:paraId="10A2938C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550F88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事故/事件数据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039E46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数据感知、3D 数模、事件管控</w:t>
            </w:r>
          </w:p>
        </w:tc>
        <w:tc>
          <w:tcPr>
            <w:tcW w:w="454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EBA3D0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支撑事件分级、影响范围判断和管制策略设计。</w:t>
            </w:r>
          </w:p>
        </w:tc>
      </w:tr>
      <w:tr w14:paraId="5F7A00CB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D18B22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违法/超速数据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06DF6F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数据感知、评价复盘</w:t>
            </w:r>
          </w:p>
        </w:tc>
        <w:tc>
          <w:tcPr>
            <w:tcW w:w="454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D27AB8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支撑交通安全风险研判。</w:t>
            </w:r>
          </w:p>
        </w:tc>
      </w:tr>
      <w:tr w14:paraId="1549E6A2">
        <w:trPr>
          <w:trHeight w:val="0" w:hRule="atLeast"/>
          <w:jc w:val="center"/>
        </w:trPr>
        <w:tc>
          <w:tcPr>
            <w:tcW w:w="195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45271D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任务/评价数据</w:t>
            </w:r>
          </w:p>
        </w:tc>
        <w:tc>
          <w:tcPr>
            <w:tcW w:w="386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D401E3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教师端、学生端、评价复盘</w:t>
            </w:r>
          </w:p>
        </w:tc>
        <w:tc>
          <w:tcPr>
            <w:tcW w:w="454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5C6F59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支撑过程记录、能力评价和报告生成。</w:t>
            </w:r>
          </w:p>
        </w:tc>
      </w:tr>
    </w:tbl>
    <w:p w14:paraId="2C04449E">
      <w:pPr>
        <w:rPr>
          <w:rFonts w:hint="default" w:ascii="Times New Roman Regular" w:hAnsi="Times New Roman Regular" w:eastAsia="仿宋" w:cs="Times New Roman Regular"/>
        </w:rPr>
      </w:pPr>
    </w:p>
    <w:p w14:paraId="5EB94ADB">
      <w:pPr>
        <w:pStyle w:val="4"/>
        <w:numPr>
          <w:ilvl w:val="0"/>
          <w:numId w:val="10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数模驱动逻辑</w:t>
      </w:r>
    </w:p>
    <w:p w14:paraId="3A6E72BE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数模驱动是系统区别于普通数据看板的重要特征。平台通过 GIS 路网和局部 3D 交叉口把道路、车道、车辆、信号灯、检测器、摄像头和事件点抽象为可观察、可点击、可解释的教学对象，使学生能够在空间场景中理解交通状态变化。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3"/>
        <w:gridCol w:w="4494"/>
        <w:gridCol w:w="3999"/>
      </w:tblGrid>
      <w:tr w14:paraId="60971D9B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1A98921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数模对象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4D13C9F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映射内容</w:t>
            </w:r>
          </w:p>
        </w:tc>
        <w:tc>
          <w:tcPr>
            <w:tcW w:w="399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4408A9F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教学用途</w:t>
            </w:r>
          </w:p>
        </w:tc>
      </w:tr>
      <w:tr w14:paraId="31840DA7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66B4E0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道路/车道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1A0067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路段名称、方向、通行状态、状态光带</w:t>
            </w:r>
          </w:p>
        </w:tc>
        <w:tc>
          <w:tcPr>
            <w:tcW w:w="399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F8E309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理解路网结构和进口道运行差异。</w:t>
            </w:r>
          </w:p>
        </w:tc>
      </w:tr>
      <w:tr w14:paraId="21DB7C8B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212CA8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车辆流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5FDD62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车辆密度、移动方向、拥堵/缓行状态</w:t>
            </w:r>
          </w:p>
        </w:tc>
        <w:tc>
          <w:tcPr>
            <w:tcW w:w="399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8A3D6B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观察交通流运行特征。</w:t>
            </w:r>
          </w:p>
        </w:tc>
      </w:tr>
      <w:tr w14:paraId="2D2B42BE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B005B2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信号机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E50669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红绿状态、相位、配时参数</w:t>
            </w:r>
          </w:p>
        </w:tc>
        <w:tc>
          <w:tcPr>
            <w:tcW w:w="399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C561A1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支撑信号优化实训。</w:t>
            </w:r>
          </w:p>
        </w:tc>
      </w:tr>
      <w:tr w14:paraId="36EA757A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13820D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检测器/摄像头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82B2DF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设备在线状态、采集对象、监测区域</w:t>
            </w:r>
          </w:p>
        </w:tc>
        <w:tc>
          <w:tcPr>
            <w:tcW w:w="399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0F7523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理解数据采集来源。</w:t>
            </w:r>
          </w:p>
        </w:tc>
      </w:tr>
      <w:tr w14:paraId="10AB44CF">
        <w:trPr>
          <w:trHeight w:val="0" w:hRule="atLeast"/>
          <w:jc w:val="center"/>
        </w:trPr>
        <w:tc>
          <w:tcPr>
            <w:tcW w:w="186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1B60C7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事件点</w:t>
            </w:r>
          </w:p>
        </w:tc>
        <w:tc>
          <w:tcPr>
            <w:tcW w:w="449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85AA87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事故、排队溢出、风险等级、影响范围</w:t>
            </w:r>
          </w:p>
        </w:tc>
        <w:tc>
          <w:tcPr>
            <w:tcW w:w="399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B2B346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支撑事件应急管控实训。</w:t>
            </w:r>
          </w:p>
        </w:tc>
      </w:tr>
    </w:tbl>
    <w:p w14:paraId="3898D409">
      <w:pPr>
        <w:rPr>
          <w:rFonts w:hint="default" w:ascii="Times New Roman Regular" w:hAnsi="Times New Roman Regular" w:eastAsia="仿宋" w:cs="Times New Roman Regular"/>
        </w:rPr>
      </w:pPr>
    </w:p>
    <w:p w14:paraId="422F5A58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运行环境、离线包与访问方式</w:t>
      </w:r>
    </w:p>
    <w:p w14:paraId="27B05663">
      <w:pPr>
        <w:pStyle w:val="4"/>
        <w:numPr>
          <w:ilvl w:val="0"/>
          <w:numId w:val="11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离线演示包组成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6"/>
        <w:gridCol w:w="3979"/>
        <w:gridCol w:w="3961"/>
      </w:tblGrid>
      <w:tr w14:paraId="468E9D82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4EEAF03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文件或目录</w:t>
            </w:r>
          </w:p>
        </w:tc>
        <w:tc>
          <w:tcPr>
            <w:tcW w:w="397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4C47039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用途</w:t>
            </w:r>
          </w:p>
        </w:tc>
        <w:tc>
          <w:tcPr>
            <w:tcW w:w="396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682ED90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注意事项</w:t>
            </w:r>
          </w:p>
        </w:tc>
      </w:tr>
      <w:tr w14:paraId="5DA586D9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F90FDD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index.html</w:t>
            </w:r>
          </w:p>
        </w:tc>
        <w:tc>
          <w:tcPr>
            <w:tcW w:w="397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48B7C8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系统前端入口文件</w:t>
            </w:r>
          </w:p>
        </w:tc>
        <w:tc>
          <w:tcPr>
            <w:tcW w:w="396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D7BE81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不要单独复制，必须连同 assets 文件夹一起使用。</w:t>
            </w:r>
          </w:p>
        </w:tc>
      </w:tr>
      <w:tr w14:paraId="1D0C8504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B3EB7F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assets/</w:t>
            </w:r>
          </w:p>
        </w:tc>
        <w:tc>
          <w:tcPr>
            <w:tcW w:w="397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181D3C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系统脚本、样式、图表、3D资源等静态文件</w:t>
            </w:r>
          </w:p>
        </w:tc>
        <w:tc>
          <w:tcPr>
            <w:tcW w:w="396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DFF6CEE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若缺失会导致页面空白、样式错乱或图表无法显示。</w:t>
            </w:r>
          </w:p>
        </w:tc>
      </w:tr>
      <w:tr w14:paraId="3D366416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DBD97D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docs/</w:t>
            </w:r>
          </w:p>
        </w:tc>
        <w:tc>
          <w:tcPr>
            <w:tcW w:w="397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014901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项目报告、操作手册、任务书、评价体系等支撑材料</w:t>
            </w:r>
          </w:p>
        </w:tc>
        <w:tc>
          <w:tcPr>
            <w:tcW w:w="396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CFFFA1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比赛提交和现场答辩建议同步携带。</w:t>
            </w:r>
          </w:p>
        </w:tc>
      </w:tr>
      <w:tr w14:paraId="6CDB99CD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9ECBED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start-offline-server.py</w:t>
            </w:r>
          </w:p>
        </w:tc>
        <w:tc>
          <w:tcPr>
            <w:tcW w:w="397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7746C3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本地离线服务脚本</w:t>
            </w:r>
          </w:p>
        </w:tc>
        <w:tc>
          <w:tcPr>
            <w:tcW w:w="396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5BA1FB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用于解决前端路由刷新 404 和直接打开空白问题。</w:t>
            </w:r>
          </w:p>
        </w:tc>
      </w:tr>
      <w:tr w14:paraId="7F3F48FD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3A12BA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启动离线演示-Windows.bat</w:t>
            </w:r>
          </w:p>
        </w:tc>
        <w:tc>
          <w:tcPr>
            <w:tcW w:w="397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CA17E5E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Windows 一键启动脚本</w:t>
            </w:r>
          </w:p>
        </w:tc>
        <w:tc>
          <w:tcPr>
            <w:tcW w:w="396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29627F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双击启动，推荐使用 Chrome 或 Edge 浏览器。</w:t>
            </w:r>
          </w:p>
        </w:tc>
      </w:tr>
      <w:tr w14:paraId="127565F0">
        <w:trPr>
          <w:trHeight w:val="0" w:hRule="atLeast"/>
          <w:jc w:val="center"/>
        </w:trPr>
        <w:tc>
          <w:tcPr>
            <w:tcW w:w="241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FC7607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启动离线演示.command</w:t>
            </w:r>
          </w:p>
        </w:tc>
        <w:tc>
          <w:tcPr>
            <w:tcW w:w="397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EA6B8B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macOS 一键启动脚本</w:t>
            </w:r>
          </w:p>
        </w:tc>
        <w:tc>
          <w:tcPr>
            <w:tcW w:w="396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C51C50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若无法打开，可右键选择“打开”。</w:t>
            </w:r>
          </w:p>
        </w:tc>
      </w:tr>
    </w:tbl>
    <w:p w14:paraId="059F1316">
      <w:pPr>
        <w:rPr>
          <w:rFonts w:hint="default" w:ascii="Times New Roman Regular" w:hAnsi="Times New Roman Regular" w:eastAsia="仿宋" w:cs="Times New Roman Regular"/>
        </w:rPr>
      </w:pPr>
    </w:p>
    <w:p w14:paraId="7DFCC8CD">
      <w:pPr>
        <w:pStyle w:val="4"/>
        <w:numPr>
          <w:ilvl w:val="0"/>
          <w:numId w:val="11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推荐运行环境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3819"/>
        <w:gridCol w:w="5135"/>
      </w:tblGrid>
      <w:tr w14:paraId="0C1483D1">
        <w:trPr>
          <w:trHeight w:val="0" w:hRule="atLeast"/>
          <w:tblHeader/>
          <w:jc w:val="center"/>
        </w:trPr>
        <w:tc>
          <w:tcPr>
            <w:tcW w:w="140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54B9AE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环境项目</w:t>
            </w:r>
          </w:p>
        </w:tc>
        <w:tc>
          <w:tcPr>
            <w:tcW w:w="381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3A7DDE9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推荐配置</w:t>
            </w:r>
          </w:p>
        </w:tc>
        <w:tc>
          <w:tcPr>
            <w:tcW w:w="513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6D399B3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说明</w:t>
            </w:r>
          </w:p>
        </w:tc>
      </w:tr>
      <w:tr w14:paraId="3223CEF7">
        <w:trPr>
          <w:trHeight w:val="0" w:hRule="atLeast"/>
          <w:jc w:val="center"/>
        </w:trPr>
        <w:tc>
          <w:tcPr>
            <w:tcW w:w="140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F173AB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操作系统</w:t>
            </w:r>
          </w:p>
        </w:tc>
        <w:tc>
          <w:tcPr>
            <w:tcW w:w="381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E7BD07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Windows 10/11 或 macOS 12 以上</w:t>
            </w:r>
          </w:p>
        </w:tc>
        <w:tc>
          <w:tcPr>
            <w:tcW w:w="513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DD25EB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用于比赛答辩建议优先使用性能稳定的笔记本电脑。</w:t>
            </w:r>
          </w:p>
        </w:tc>
      </w:tr>
      <w:tr w14:paraId="6179D97C">
        <w:trPr>
          <w:trHeight w:val="0" w:hRule="atLeast"/>
          <w:jc w:val="center"/>
        </w:trPr>
        <w:tc>
          <w:tcPr>
            <w:tcW w:w="140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AA92B1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浏览器</w:t>
            </w:r>
          </w:p>
        </w:tc>
        <w:tc>
          <w:tcPr>
            <w:tcW w:w="381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BC662E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Chrome / Edge 最新版</w:t>
            </w:r>
          </w:p>
        </w:tc>
        <w:tc>
          <w:tcPr>
            <w:tcW w:w="513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8D80C0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对前端路由、图表和 3D 页面兼容性较好。</w:t>
            </w:r>
          </w:p>
        </w:tc>
      </w:tr>
      <w:tr w14:paraId="4135443A">
        <w:trPr>
          <w:trHeight w:val="0" w:hRule="atLeast"/>
          <w:jc w:val="center"/>
        </w:trPr>
        <w:tc>
          <w:tcPr>
            <w:tcW w:w="140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CB5160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屏幕分辨率</w:t>
            </w:r>
          </w:p>
        </w:tc>
        <w:tc>
          <w:tcPr>
            <w:tcW w:w="381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3BA7C4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1920×1080 及以上</w:t>
            </w:r>
          </w:p>
        </w:tc>
        <w:tc>
          <w:tcPr>
            <w:tcW w:w="513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6CD045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便于展示驾驶舱和 3D 数模页面。</w:t>
            </w:r>
          </w:p>
        </w:tc>
      </w:tr>
      <w:tr w14:paraId="3905C3EA">
        <w:trPr>
          <w:trHeight w:val="0" w:hRule="atLeast"/>
          <w:jc w:val="center"/>
        </w:trPr>
        <w:tc>
          <w:tcPr>
            <w:tcW w:w="140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498DBD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网络环境</w:t>
            </w:r>
          </w:p>
        </w:tc>
        <w:tc>
          <w:tcPr>
            <w:tcW w:w="381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53DFC8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公网链接 + 离线包双备份</w:t>
            </w:r>
          </w:p>
        </w:tc>
        <w:tc>
          <w:tcPr>
            <w:tcW w:w="513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AD5C38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现场网络不稳定时使用离线包。</w:t>
            </w:r>
          </w:p>
        </w:tc>
      </w:tr>
      <w:tr w14:paraId="4886D9EA">
        <w:trPr>
          <w:trHeight w:val="0" w:hRule="atLeast"/>
          <w:jc w:val="center"/>
        </w:trPr>
        <w:tc>
          <w:tcPr>
            <w:tcW w:w="140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5C3336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演示设备</w:t>
            </w:r>
          </w:p>
        </w:tc>
        <w:tc>
          <w:tcPr>
            <w:tcW w:w="381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85686F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建议提前连接投影或大屏测试</w:t>
            </w:r>
          </w:p>
        </w:tc>
        <w:tc>
          <w:tcPr>
            <w:tcW w:w="513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8E5B40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避免字体过小或比例不适合。</w:t>
            </w:r>
          </w:p>
        </w:tc>
      </w:tr>
    </w:tbl>
    <w:p w14:paraId="0DA81493">
      <w:pPr>
        <w:rPr>
          <w:rFonts w:hint="default" w:ascii="Times New Roman Regular" w:hAnsi="Times New Roman Regular" w:eastAsia="仿宋" w:cs="Times New Roman Regular"/>
        </w:rPr>
      </w:pPr>
    </w:p>
    <w:p w14:paraId="359E30EA">
      <w:pPr>
        <w:pStyle w:val="4"/>
        <w:numPr>
          <w:ilvl w:val="0"/>
          <w:numId w:val="11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打开步骤</w:t>
      </w:r>
    </w:p>
    <w:p w14:paraId="2307574A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将完整离线包解压到本地文件夹，路径尽量使用英文或简单中文，避免特殊符号。</w:t>
      </w:r>
    </w:p>
    <w:p w14:paraId="5FC4DA6F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先尝试打开 index.html；如页面资源加载异常，使用启动脚本。</w:t>
      </w:r>
    </w:p>
    <w:p w14:paraId="4AEE768C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Windows 用户双击“启动离线演示-Windows.bat”；macOS 用户使用“启动离线演示.command”。</w:t>
      </w:r>
    </w:p>
    <w:p w14:paraId="6DE93E26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浏览器打开后优先进入 /guide，即作品导览页。</w:t>
      </w:r>
    </w:p>
    <w:p w14:paraId="5A71243A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演示前依次检查 /dashboard、/data、/3d-model、/teacher、/student、/simulation、/review、/matrix 页面能否正常访问。</w:t>
      </w:r>
    </w:p>
    <w:p w14:paraId="01BEE13D">
      <w:pPr>
        <w:pStyle w:val="4"/>
        <w:numPr>
          <w:ilvl w:val="0"/>
          <w:numId w:val="11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页面访问路径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1809"/>
        <w:gridCol w:w="6326"/>
      </w:tblGrid>
      <w:tr w14:paraId="1F09EF71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AFFEB2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页面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5DDCBE9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路由</w:t>
            </w:r>
          </w:p>
        </w:tc>
        <w:tc>
          <w:tcPr>
            <w:tcW w:w="632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0ED7CD7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主要用途</w:t>
            </w:r>
          </w:p>
        </w:tc>
      </w:tr>
      <w:tr w14:paraId="681D023B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755DA9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作品导览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AADF3E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/guide</w:t>
            </w:r>
          </w:p>
        </w:tc>
        <w:tc>
          <w:tcPr>
            <w:tcW w:w="632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C601D5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作品定位、课程依托、演示流程入口。</w:t>
            </w:r>
          </w:p>
        </w:tc>
      </w:tr>
      <w:tr w14:paraId="6AA98647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250C60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数字孪生驾驶舱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F84759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/dashboard</w:t>
            </w:r>
          </w:p>
        </w:tc>
        <w:tc>
          <w:tcPr>
            <w:tcW w:w="632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13CC86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交通运行态势、GIS/3D 主场景、教学任务总览。</w:t>
            </w:r>
          </w:p>
        </w:tc>
      </w:tr>
      <w:tr w14:paraId="3ECC2F25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33EBB9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数据感知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5B1A91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/data</w:t>
            </w:r>
          </w:p>
        </w:tc>
        <w:tc>
          <w:tcPr>
            <w:tcW w:w="632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93DA0B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六类交通教学样例数据模块。</w:t>
            </w:r>
          </w:p>
        </w:tc>
      </w:tr>
      <w:tr w14:paraId="0A35E7C3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D7BAB9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3D 数模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D58565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/3d-model</w:t>
            </w:r>
          </w:p>
        </w:tc>
        <w:tc>
          <w:tcPr>
            <w:tcW w:w="632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FAC51B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GIS 路网与局部 3D 交叉口数模映射。</w:t>
            </w:r>
          </w:p>
        </w:tc>
      </w:tr>
      <w:tr w14:paraId="515DEB0B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8CC91A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教师端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FCFD45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/teacher</w:t>
            </w:r>
          </w:p>
        </w:tc>
        <w:tc>
          <w:tcPr>
            <w:tcW w:w="632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467BC7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任务发布、分组组织、评分标准设置。</w:t>
            </w:r>
          </w:p>
        </w:tc>
      </w:tr>
      <w:tr w14:paraId="0BFBC6E2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B65DAE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学生端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2C9290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/student</w:t>
            </w:r>
          </w:p>
        </w:tc>
        <w:tc>
          <w:tcPr>
            <w:tcW w:w="632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913E4D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任务接收、数据研判、方案设计、提交仿真。</w:t>
            </w:r>
          </w:p>
        </w:tc>
      </w:tr>
      <w:tr w14:paraId="2DE1EA1E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7A227D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仿真推演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319F4A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/simulation</w:t>
            </w:r>
          </w:p>
        </w:tc>
        <w:tc>
          <w:tcPr>
            <w:tcW w:w="632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4C38B0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优化前后指标对比和系统点评。</w:t>
            </w:r>
          </w:p>
        </w:tc>
      </w:tr>
      <w:tr w14:paraId="57D36C53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AF6EC3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评价复盘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7D9F4A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/review</w:t>
            </w:r>
          </w:p>
        </w:tc>
        <w:tc>
          <w:tcPr>
            <w:tcW w:w="632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C7EFDB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能力评价、操作时间线、教师点评、报告导出。</w:t>
            </w:r>
          </w:p>
        </w:tc>
      </w:tr>
      <w:tr w14:paraId="4A8BF5FC">
        <w:trPr>
          <w:trHeight w:val="0" w:hRule="atLeast"/>
          <w:jc w:val="center"/>
        </w:trPr>
        <w:tc>
          <w:tcPr>
            <w:tcW w:w="222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51A54D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教学成果中心</w:t>
            </w:r>
          </w:p>
        </w:tc>
        <w:tc>
          <w:tcPr>
            <w:tcW w:w="180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76B342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/matrix</w:t>
            </w:r>
          </w:p>
        </w:tc>
        <w:tc>
          <w:tcPr>
            <w:tcW w:w="632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2DACBA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平台、数据、模型、场景、评价和应用成果汇聚。</w:t>
            </w:r>
          </w:p>
        </w:tc>
      </w:tr>
    </w:tbl>
    <w:p w14:paraId="68F72B05">
      <w:pPr>
        <w:rPr>
          <w:rFonts w:hint="default" w:ascii="Times New Roman Regular" w:hAnsi="Times New Roman Regular" w:eastAsia="仿宋" w:cs="Times New Roman Regular"/>
        </w:rPr>
      </w:pPr>
    </w:p>
    <w:p w14:paraId="77569AD2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角色分工与完整教学闭环</w:t>
      </w:r>
    </w:p>
    <w:p w14:paraId="314AAA24">
      <w:pPr>
        <w:pStyle w:val="4"/>
        <w:numPr>
          <w:ilvl w:val="0"/>
          <w:numId w:val="12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角色分工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4965"/>
        <w:gridCol w:w="3811"/>
      </w:tblGrid>
      <w:tr w14:paraId="6772811A">
        <w:trPr>
          <w:trHeight w:val="0" w:hRule="atLeast"/>
          <w:tblHeader/>
          <w:jc w:val="center"/>
        </w:trPr>
        <w:tc>
          <w:tcPr>
            <w:tcW w:w="158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75CA7B3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角色</w:t>
            </w:r>
          </w:p>
        </w:tc>
        <w:tc>
          <w:tcPr>
            <w:tcW w:w="496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3DCEC6D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职责</w:t>
            </w:r>
          </w:p>
        </w:tc>
        <w:tc>
          <w:tcPr>
            <w:tcW w:w="381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8A5D4B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输出成果</w:t>
            </w:r>
          </w:p>
        </w:tc>
      </w:tr>
      <w:tr w14:paraId="2F920EDE">
        <w:trPr>
          <w:trHeight w:val="0" w:hRule="atLeast"/>
          <w:jc w:val="center"/>
        </w:trPr>
        <w:tc>
          <w:tcPr>
            <w:tcW w:w="158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7F6496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授课教师</w:t>
            </w:r>
          </w:p>
        </w:tc>
        <w:tc>
          <w:tcPr>
            <w:tcW w:w="496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6A8939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设计任务、发布实训、设置分组、组织课堂讨论、评价学生成果。</w:t>
            </w:r>
          </w:p>
        </w:tc>
        <w:tc>
          <w:tcPr>
            <w:tcW w:w="381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382122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实训任务书、评价结果、课堂复盘记录。</w:t>
            </w:r>
          </w:p>
        </w:tc>
      </w:tr>
      <w:tr w14:paraId="536CC9E1">
        <w:trPr>
          <w:trHeight w:val="0" w:hRule="atLeast"/>
          <w:jc w:val="center"/>
        </w:trPr>
        <w:tc>
          <w:tcPr>
            <w:tcW w:w="158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A6A316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学生小组</w:t>
            </w:r>
          </w:p>
        </w:tc>
        <w:tc>
          <w:tcPr>
            <w:tcW w:w="496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E02459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读取数据、观察数模、诊断问题、设置方案、提交仿真、完成报告。</w:t>
            </w:r>
          </w:p>
        </w:tc>
        <w:tc>
          <w:tcPr>
            <w:tcW w:w="381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C8170D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方案参数、仿真结果截图、实训报告、复盘总结。</w:t>
            </w:r>
          </w:p>
        </w:tc>
      </w:tr>
      <w:tr w14:paraId="0B40A7E9">
        <w:trPr>
          <w:trHeight w:val="0" w:hRule="atLeast"/>
          <w:jc w:val="center"/>
        </w:trPr>
        <w:tc>
          <w:tcPr>
            <w:tcW w:w="158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9193B7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系统展示人员</w:t>
            </w:r>
          </w:p>
        </w:tc>
        <w:tc>
          <w:tcPr>
            <w:tcW w:w="496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675586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按标准演示路径完成 3—5 分钟系统操作展示。</w:t>
            </w:r>
          </w:p>
        </w:tc>
        <w:tc>
          <w:tcPr>
            <w:tcW w:w="381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FBC96A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演示视频、操作截图、系统链接说明。</w:t>
            </w:r>
          </w:p>
        </w:tc>
      </w:tr>
      <w:tr w14:paraId="22790498">
        <w:trPr>
          <w:trHeight w:val="0" w:hRule="atLeast"/>
          <w:jc w:val="center"/>
        </w:trPr>
        <w:tc>
          <w:tcPr>
            <w:tcW w:w="158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E19E84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教学建设团队</w:t>
            </w:r>
          </w:p>
        </w:tc>
        <w:tc>
          <w:tcPr>
            <w:tcW w:w="496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A79F9F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维护平台、整理数据、更新任务、沉淀课程资源。</w:t>
            </w:r>
          </w:p>
        </w:tc>
        <w:tc>
          <w:tcPr>
            <w:tcW w:w="381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A1FC7F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操作手册、数据说明、评价体系、教学应用报告。</w:t>
            </w:r>
          </w:p>
        </w:tc>
      </w:tr>
    </w:tbl>
    <w:p w14:paraId="07189B2E">
      <w:pPr>
        <w:rPr>
          <w:rFonts w:hint="default" w:ascii="Times New Roman Regular" w:hAnsi="Times New Roman Regular" w:eastAsia="仿宋" w:cs="Times New Roman Regular"/>
        </w:rPr>
      </w:pPr>
    </w:p>
    <w:p w14:paraId="1F3EC57C">
      <w:pPr>
        <w:pStyle w:val="4"/>
        <w:numPr>
          <w:ilvl w:val="0"/>
          <w:numId w:val="12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推荐教学闭环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2465"/>
        <w:gridCol w:w="7021"/>
      </w:tblGrid>
      <w:tr w14:paraId="300E18B4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6BDC8AD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环节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5F933D6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对应页面</w:t>
            </w:r>
          </w:p>
        </w:tc>
        <w:tc>
          <w:tcPr>
            <w:tcW w:w="702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030264A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操作与教学目的</w:t>
            </w:r>
          </w:p>
        </w:tc>
      </w:tr>
      <w:tr w14:paraId="2F577BC1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66F39D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导入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A23030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作品导览 / 驾驶舱</w:t>
            </w:r>
          </w:p>
        </w:tc>
        <w:tc>
          <w:tcPr>
            <w:tcW w:w="702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FBE221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说明实训背景、课程知识点和交通运行态势。</w:t>
            </w:r>
          </w:p>
        </w:tc>
      </w:tr>
      <w:tr w14:paraId="36234A6E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590F42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感知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28773C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数据感知 / 驾驶舱</w:t>
            </w:r>
          </w:p>
        </w:tc>
        <w:tc>
          <w:tcPr>
            <w:tcW w:w="702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0DE3A9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读取流量、速度、事故、违法和 ETC 超速数据。</w:t>
            </w:r>
          </w:p>
        </w:tc>
      </w:tr>
      <w:tr w14:paraId="1D06E631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6E8885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映射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3CD078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3D 数模</w:t>
            </w:r>
          </w:p>
        </w:tc>
        <w:tc>
          <w:tcPr>
            <w:tcW w:w="702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17523A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把数据变化映射到路网、车道、信号、车辆和事件对象。</w:t>
            </w:r>
          </w:p>
        </w:tc>
      </w:tr>
      <w:tr w14:paraId="3052A99A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E4B650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决策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E9D696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学生端</w:t>
            </w:r>
          </w:p>
        </w:tc>
        <w:tc>
          <w:tcPr>
            <w:tcW w:w="702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847EAA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学生设置信号优化、绕行诱导和事件管控方案。</w:t>
            </w:r>
          </w:p>
        </w:tc>
      </w:tr>
      <w:tr w14:paraId="7CF764EC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C5B78F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推演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E8E587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仿真推演</w:t>
            </w:r>
          </w:p>
        </w:tc>
        <w:tc>
          <w:tcPr>
            <w:tcW w:w="702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69F80B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比较方案实施前后指标变化，解释方案效果。</w:t>
            </w:r>
          </w:p>
        </w:tc>
      </w:tr>
      <w:tr w14:paraId="5035FEF0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F2D16E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评价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3D819C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评价复盘</w:t>
            </w:r>
          </w:p>
        </w:tc>
        <w:tc>
          <w:tcPr>
            <w:tcW w:w="702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3ED8D9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形成能力评分、操作记录、教师点评和实训报告。</w:t>
            </w:r>
          </w:p>
        </w:tc>
      </w:tr>
      <w:tr w14:paraId="06F6F109">
        <w:trPr>
          <w:trHeight w:val="0" w:hRule="atLeast"/>
          <w:jc w:val="center"/>
        </w:trPr>
        <w:tc>
          <w:tcPr>
            <w:tcW w:w="87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D3D774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沉淀</w:t>
            </w:r>
          </w:p>
        </w:tc>
        <w:tc>
          <w:tcPr>
            <w:tcW w:w="246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59B227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教学成果中心</w:t>
            </w:r>
          </w:p>
        </w:tc>
        <w:tc>
          <w:tcPr>
            <w:tcW w:w="702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EDCC74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归档平台、数据、模型、场景、评价和应用成果。</w:t>
            </w:r>
          </w:p>
        </w:tc>
      </w:tr>
    </w:tbl>
    <w:p w14:paraId="1DE06721">
      <w:pPr>
        <w:rPr>
          <w:rFonts w:hint="default" w:ascii="Times New Roman Regular" w:hAnsi="Times New Roman Regular" w:eastAsia="仿宋" w:cs="Times New Roman Regular"/>
        </w:rPr>
      </w:pPr>
    </w:p>
    <w:p w14:paraId="7B2B56DC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作品导览页操作说明</w:t>
      </w:r>
    </w:p>
    <w:p w14:paraId="178E1398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作品导览页用于说明系统整体定位、课程依托、核心能力和标准演示路径。比赛展示和课堂导入时均建议从该页面开始，避免直接进入系统后台页面导致观众难以理解项目主线。</w:t>
      </w:r>
    </w:p>
    <w:p w14:paraId="09D7CAB2">
      <w:pPr>
        <w:pStyle w:val="4"/>
        <w:numPr>
          <w:ilvl w:val="0"/>
          <w:numId w:val="13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页面功能</w:t>
      </w:r>
    </w:p>
    <w:p w14:paraId="702911C8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展示作品名称、课程依托和数字孪生教学应用定位。</w:t>
      </w:r>
    </w:p>
    <w:p w14:paraId="56BFE192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说明核心流程：数据感知、数模映射、仿真推演、管控决策、评价复盘。</w:t>
      </w:r>
    </w:p>
    <w:p w14:paraId="19E8CB0A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提供教学演示模式入口，用于课堂展示、项目汇报和比赛录屏。</w:t>
      </w:r>
    </w:p>
    <w:p w14:paraId="67681D25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帮助评审快速识别本系统不是普通交通看板，而是面向课程实训的教学平台。</w:t>
      </w:r>
    </w:p>
    <w:p w14:paraId="558A090C">
      <w:pPr>
        <w:pStyle w:val="4"/>
        <w:numPr>
          <w:ilvl w:val="0"/>
          <w:numId w:val="13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操作流程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4259"/>
        <w:gridCol w:w="5376"/>
      </w:tblGrid>
      <w:tr w14:paraId="1A5DD018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AC5727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步骤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3720843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操作</w:t>
            </w:r>
          </w:p>
        </w:tc>
        <w:tc>
          <w:tcPr>
            <w:tcW w:w="537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40303A3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讲解重点</w:t>
            </w:r>
          </w:p>
        </w:tc>
      </w:tr>
      <w:tr w14:paraId="360D8021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FF884B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730BC9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打开系统进入作品导览页。</w:t>
            </w:r>
          </w:p>
        </w:tc>
        <w:tc>
          <w:tcPr>
            <w:tcW w:w="537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42B39A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说明项目面向《智能交通系统》课程。</w:t>
            </w:r>
          </w:p>
        </w:tc>
      </w:tr>
      <w:tr w14:paraId="064AF677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A32B97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2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75CC76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阅读作品定位与能力标签。</w:t>
            </w:r>
          </w:p>
        </w:tc>
        <w:tc>
          <w:tcPr>
            <w:tcW w:w="537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053430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突出数据与数模双驱动、仿真推演和教学评价。</w:t>
            </w:r>
          </w:p>
        </w:tc>
      </w:tr>
      <w:tr w14:paraId="5905EFF1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4D9F4C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725A1A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点击“开始教学演示”。</w:t>
            </w:r>
          </w:p>
        </w:tc>
        <w:tc>
          <w:tcPr>
            <w:tcW w:w="537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935A9B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按标准路径进入驾驶舱、数据感知和 3D 数模页面。</w:t>
            </w:r>
          </w:p>
        </w:tc>
      </w:tr>
      <w:tr w14:paraId="2DBA63DD">
        <w:trPr>
          <w:trHeight w:val="0" w:hRule="atLeast"/>
          <w:jc w:val="center"/>
        </w:trPr>
        <w:tc>
          <w:tcPr>
            <w:tcW w:w="72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7B5E31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4</w:t>
            </w:r>
          </w:p>
        </w:tc>
        <w:tc>
          <w:tcPr>
            <w:tcW w:w="425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250BC2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如需手动操作，使用左侧菜单切换页面。</w:t>
            </w:r>
          </w:p>
        </w:tc>
        <w:tc>
          <w:tcPr>
            <w:tcW w:w="537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1FDA95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现场可根据评委关注点灵活展示。</w:t>
            </w:r>
          </w:p>
        </w:tc>
      </w:tr>
    </w:tbl>
    <w:p w14:paraId="21CD0A72">
      <w:pPr>
        <w:rPr>
          <w:rFonts w:hint="default" w:ascii="Times New Roman Regular" w:hAnsi="Times New Roman Regular" w:eastAsia="仿宋" w:cs="Times New Roman Regular"/>
        </w:rPr>
      </w:pPr>
    </w:p>
    <w:tbl>
      <w:tblPr>
        <w:tblStyle w:val="3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8"/>
      </w:tblGrid>
      <w:tr w14:paraId="2615A1A2">
        <w:trPr>
          <w:jc w:val="center"/>
        </w:trPr>
        <w:tc>
          <w:tcPr>
            <w:tcW w:w="5000" w:type="pct"/>
            <w:tcBorders>
              <w:top w:val="single" w:color="8BB7E8" w:sz="8" w:space="0"/>
              <w:left w:val="single" w:color="8BB7E8" w:sz="8" w:space="0"/>
              <w:bottom w:val="single" w:color="8BB7E8" w:sz="8" w:space="0"/>
              <w:right w:val="single" w:color="8BB7E8" w:sz="8" w:space="0"/>
            </w:tcBorders>
            <w:shd w:val="clear" w:color="auto" w:fill="EAF3FF"/>
          </w:tcPr>
          <w:p w14:paraId="7480D201">
            <w:pPr>
              <w:spacing w:after="60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1F4E79"/>
                <w:sz w:val="21"/>
              </w:rPr>
              <w:t>教师讲解口径</w:t>
            </w:r>
          </w:p>
          <w:p w14:paraId="7933417B">
            <w:pPr>
              <w:spacing w:line="288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本页不宜讲太久，建议用 20—30 秒说明“课程依托、教学痛点、系统闭环”，随后尽快进入数字孪生驾驶舱。</w:t>
            </w:r>
          </w:p>
        </w:tc>
      </w:tr>
    </w:tbl>
    <w:p w14:paraId="09A3612B">
      <w:pPr>
        <w:rPr>
          <w:rFonts w:hint="default" w:ascii="Times New Roman Regular" w:hAnsi="Times New Roman Regular" w:eastAsia="仿宋" w:cs="Times New Roman Regular"/>
        </w:rPr>
      </w:pPr>
    </w:p>
    <w:p w14:paraId="5A96E62B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数字孪生驾驶舱操作说明</w:t>
      </w:r>
    </w:p>
    <w:p w14:paraId="46DDC32C">
      <w:pPr>
        <w:jc w:val="center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drawing>
          <wp:inline distT="0" distB="0" distL="114300" distR="114300">
            <wp:extent cx="5303520" cy="6449060"/>
            <wp:effectExtent l="0" t="0" r="508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644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64B36">
      <w:pPr>
        <w:pStyle w:val="166"/>
        <w:widowControl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图 7-1  数字孪生驾驶舱：交通运行态势、GIS/3D 主场景与教学任务联动</w:t>
      </w:r>
    </w:p>
    <w:p w14:paraId="3556CE2B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数字孪生驾驶舱是系统总览页，承担“展示交通状态、说明教学任务、引入后续实训”的作用。课堂使用时，教师可先引导学生读取左侧交通运行指标，再观察中间 GIS/3D 主场景，最后进入教师端或学生端组织实训。</w:t>
      </w:r>
    </w:p>
    <w:p w14:paraId="637F722F">
      <w:pPr>
        <w:pStyle w:val="4"/>
        <w:numPr>
          <w:ilvl w:val="0"/>
          <w:numId w:val="14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页面区域说明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4979"/>
        <w:gridCol w:w="3883"/>
      </w:tblGrid>
      <w:tr w14:paraId="4D15D083">
        <w:trPr>
          <w:trHeight w:val="0" w:hRule="atLeast"/>
          <w:tblHeader/>
          <w:jc w:val="center"/>
        </w:trPr>
        <w:tc>
          <w:tcPr>
            <w:tcW w:w="149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4ED35954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区域</w:t>
            </w:r>
          </w:p>
        </w:tc>
        <w:tc>
          <w:tcPr>
            <w:tcW w:w="497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05A4A314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显示内容</w:t>
            </w:r>
          </w:p>
        </w:tc>
        <w:tc>
          <w:tcPr>
            <w:tcW w:w="388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49E12E02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教学意义</w:t>
            </w:r>
          </w:p>
        </w:tc>
      </w:tr>
      <w:tr w14:paraId="2E3EB1A0">
        <w:trPr>
          <w:trHeight w:val="0" w:hRule="atLeast"/>
          <w:jc w:val="center"/>
        </w:trPr>
        <w:tc>
          <w:tcPr>
            <w:tcW w:w="149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F3EB4FC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交通运行态势指标</w:t>
            </w:r>
          </w:p>
        </w:tc>
        <w:tc>
          <w:tcPr>
            <w:tcW w:w="497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6C9AF03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通行指数、区域交通量、平均车速、事故事件、违法风险、ETC 超速。</w:t>
            </w:r>
          </w:p>
        </w:tc>
        <w:tc>
          <w:tcPr>
            <w:tcW w:w="388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1DC5EC4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帮助学生快速判断当前交通运行状态。</w:t>
            </w:r>
          </w:p>
        </w:tc>
      </w:tr>
      <w:tr w14:paraId="1A5F8ED6">
        <w:trPr>
          <w:trHeight w:val="0" w:hRule="atLeast"/>
          <w:jc w:val="center"/>
        </w:trPr>
        <w:tc>
          <w:tcPr>
            <w:tcW w:w="149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55EE396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GIS/3D 主场景</w:t>
            </w:r>
          </w:p>
        </w:tc>
        <w:tc>
          <w:tcPr>
            <w:tcW w:w="497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44FC088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主要交叉口、拥堵路段、事故点、图层控制、进入 3D 数模和仿真推演按钮。</w:t>
            </w:r>
          </w:p>
        </w:tc>
        <w:tc>
          <w:tcPr>
            <w:tcW w:w="388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6E7C2BE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把抽象数据转化为空间场景。</w:t>
            </w:r>
          </w:p>
        </w:tc>
      </w:tr>
      <w:tr w14:paraId="3CAC113A">
        <w:trPr>
          <w:trHeight w:val="0" w:hRule="atLeast"/>
          <w:jc w:val="center"/>
        </w:trPr>
        <w:tc>
          <w:tcPr>
            <w:tcW w:w="149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F998966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教学实训驾驶舱</w:t>
            </w:r>
          </w:p>
        </w:tc>
        <w:tc>
          <w:tcPr>
            <w:tcW w:w="497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F4A00E3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当前课程、当前任务、学生分组、完成率、平均得分和待复盘任务。</w:t>
            </w:r>
          </w:p>
        </w:tc>
        <w:tc>
          <w:tcPr>
            <w:tcW w:w="388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AE14D1F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体现系统服务课堂教学组织，而不是单纯交通监控。</w:t>
            </w:r>
          </w:p>
        </w:tc>
      </w:tr>
      <w:tr w14:paraId="4F4C5804">
        <w:trPr>
          <w:trHeight w:val="0" w:hRule="atLeast"/>
          <w:jc w:val="center"/>
        </w:trPr>
        <w:tc>
          <w:tcPr>
            <w:tcW w:w="149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7D8AAE0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趋势图与说明</w:t>
            </w:r>
          </w:p>
        </w:tc>
        <w:tc>
          <w:tcPr>
            <w:tcW w:w="497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B939D81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流量—车速联动趋势、双驱动说明。</w:t>
            </w:r>
          </w:p>
        </w:tc>
        <w:tc>
          <w:tcPr>
            <w:tcW w:w="388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4FB3E22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帮助学生理解流量增大、速度下降与拥堵形成之间的关系。</w:t>
            </w:r>
          </w:p>
        </w:tc>
      </w:tr>
    </w:tbl>
    <w:p w14:paraId="4E6C8825">
      <w:pPr>
        <w:rPr>
          <w:rFonts w:hint="default" w:ascii="Times New Roman Regular" w:hAnsi="Times New Roman Regular" w:eastAsia="仿宋" w:cs="Times New Roman Regular"/>
        </w:rPr>
      </w:pPr>
    </w:p>
    <w:p w14:paraId="1445E627">
      <w:pPr>
        <w:pStyle w:val="4"/>
        <w:numPr>
          <w:ilvl w:val="0"/>
          <w:numId w:val="14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交通运行指标说明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3512"/>
        <w:gridCol w:w="5441"/>
      </w:tblGrid>
      <w:tr w14:paraId="7887EE88">
        <w:trPr>
          <w:trHeight w:val="0" w:hRule="atLeast"/>
          <w:tblHeader/>
          <w:jc w:val="center"/>
        </w:trPr>
        <w:tc>
          <w:tcPr>
            <w:tcW w:w="140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358D712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指标</w:t>
            </w:r>
          </w:p>
        </w:tc>
        <w:tc>
          <w:tcPr>
            <w:tcW w:w="351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33FA6B0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样例数值</w:t>
            </w:r>
          </w:p>
        </w:tc>
        <w:tc>
          <w:tcPr>
            <w:tcW w:w="544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16A3282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课堂解释</w:t>
            </w:r>
          </w:p>
        </w:tc>
      </w:tr>
      <w:tr w14:paraId="42D46076">
        <w:trPr>
          <w:trHeight w:val="0" w:hRule="atLeast"/>
          <w:jc w:val="center"/>
        </w:trPr>
        <w:tc>
          <w:tcPr>
            <w:tcW w:w="140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BBFC43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通行指数</w:t>
            </w:r>
          </w:p>
        </w:tc>
        <w:tc>
          <w:tcPr>
            <w:tcW w:w="351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BB7DD9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72 分，中度拥堵</w:t>
            </w:r>
          </w:p>
        </w:tc>
        <w:tc>
          <w:tcPr>
            <w:tcW w:w="544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563411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表示片区综合运行状态，适合作为态势感知实训起点。</w:t>
            </w:r>
          </w:p>
        </w:tc>
      </w:tr>
      <w:tr w14:paraId="43B8A94C">
        <w:trPr>
          <w:trHeight w:val="0" w:hRule="atLeast"/>
          <w:jc w:val="center"/>
        </w:trPr>
        <w:tc>
          <w:tcPr>
            <w:tcW w:w="140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44367A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区域交通量</w:t>
            </w:r>
          </w:p>
        </w:tc>
        <w:tc>
          <w:tcPr>
            <w:tcW w:w="351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414739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7210 pcu/h，较基准上升 12.4%</w:t>
            </w:r>
          </w:p>
        </w:tc>
        <w:tc>
          <w:tcPr>
            <w:tcW w:w="544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BC2CA2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说明早高峰交通需求强度上升。</w:t>
            </w:r>
          </w:p>
        </w:tc>
      </w:tr>
      <w:tr w14:paraId="4DF8966D">
        <w:trPr>
          <w:trHeight w:val="0" w:hRule="atLeast"/>
          <w:jc w:val="center"/>
        </w:trPr>
        <w:tc>
          <w:tcPr>
            <w:tcW w:w="140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41CA46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sz w:val="19"/>
              </w:rPr>
              <w:t>平均车速</w:t>
            </w:r>
          </w:p>
        </w:tc>
        <w:tc>
          <w:tcPr>
            <w:tcW w:w="351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C1C3AF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sz w:val="19"/>
              </w:rPr>
              <w:t>31.8 km/h，低于常态 7.6%</w:t>
            </w:r>
          </w:p>
        </w:tc>
        <w:tc>
          <w:tcPr>
            <w:tcW w:w="544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357266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b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sz w:val="19"/>
              </w:rPr>
              <w:t>说明区域运行效率下降。</w:t>
            </w:r>
          </w:p>
        </w:tc>
      </w:tr>
      <w:tr w14:paraId="3C967212">
        <w:trPr>
          <w:trHeight w:val="0" w:hRule="atLeast"/>
          <w:jc w:val="center"/>
        </w:trPr>
        <w:tc>
          <w:tcPr>
            <w:tcW w:w="140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E82042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事故事件</w:t>
            </w:r>
          </w:p>
        </w:tc>
        <w:tc>
          <w:tcPr>
            <w:tcW w:w="351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22ED25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2 起</w:t>
            </w:r>
          </w:p>
        </w:tc>
        <w:tc>
          <w:tcPr>
            <w:tcW w:w="544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B94D72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可触发交通事件应急管控实训。</w:t>
            </w:r>
          </w:p>
        </w:tc>
      </w:tr>
      <w:tr w14:paraId="0AAB688C">
        <w:trPr>
          <w:trHeight w:val="0" w:hRule="atLeast"/>
          <w:jc w:val="center"/>
        </w:trPr>
        <w:tc>
          <w:tcPr>
            <w:tcW w:w="140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849975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违法风险</w:t>
            </w:r>
          </w:p>
        </w:tc>
        <w:tc>
          <w:tcPr>
            <w:tcW w:w="351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376A29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17 次</w:t>
            </w:r>
          </w:p>
        </w:tc>
        <w:tc>
          <w:tcPr>
            <w:tcW w:w="544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197EC7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用于交通安全态势研判。</w:t>
            </w:r>
          </w:p>
        </w:tc>
      </w:tr>
      <w:tr w14:paraId="5DF88064">
        <w:trPr>
          <w:trHeight w:val="0" w:hRule="atLeast"/>
          <w:jc w:val="center"/>
        </w:trPr>
        <w:tc>
          <w:tcPr>
            <w:tcW w:w="140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BE4C43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ETC 超速</w:t>
            </w:r>
          </w:p>
        </w:tc>
        <w:tc>
          <w:tcPr>
            <w:tcW w:w="351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C05D2A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8 次</w:t>
            </w:r>
          </w:p>
        </w:tc>
        <w:tc>
          <w:tcPr>
            <w:tcW w:w="544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6E2B56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用于速度异常分析和风险识别。</w:t>
            </w:r>
          </w:p>
        </w:tc>
      </w:tr>
    </w:tbl>
    <w:p w14:paraId="0FEBC0F0">
      <w:pPr>
        <w:rPr>
          <w:rFonts w:hint="default" w:ascii="Times New Roman Regular" w:hAnsi="Times New Roman Regular" w:eastAsia="仿宋" w:cs="Times New Roman Regular"/>
        </w:rPr>
      </w:pPr>
    </w:p>
    <w:p w14:paraId="65C93CA7">
      <w:pPr>
        <w:pStyle w:val="4"/>
        <w:numPr>
          <w:ilvl w:val="0"/>
          <w:numId w:val="14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操作步骤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3290"/>
        <w:gridCol w:w="6312"/>
      </w:tblGrid>
      <w:tr w14:paraId="4F048B62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6B31CE2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步骤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B70795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操作</w:t>
            </w:r>
          </w:p>
        </w:tc>
        <w:tc>
          <w:tcPr>
            <w:tcW w:w="631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E12330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预期结果</w:t>
            </w:r>
          </w:p>
        </w:tc>
      </w:tr>
      <w:tr w14:paraId="65C5E2F6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7F7E34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AFD8B4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查看左侧交通运行态势指标。</w:t>
            </w:r>
          </w:p>
        </w:tc>
        <w:tc>
          <w:tcPr>
            <w:tcW w:w="631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CA1267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初步判断是否存在拥堵、事故、违法和超速风险。</w:t>
            </w:r>
          </w:p>
        </w:tc>
      </w:tr>
      <w:tr w14:paraId="54B22AE6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0363B0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2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E77C36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观察中间 GIS/3D 主场景。</w:t>
            </w:r>
          </w:p>
        </w:tc>
        <w:tc>
          <w:tcPr>
            <w:tcW w:w="631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832308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识别人民路、学院路、科技大道等关键路段及事件点。</w:t>
            </w:r>
          </w:p>
        </w:tc>
      </w:tr>
      <w:tr w14:paraId="4510116B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D6461F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F55A2F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打开或切换图层控制。</w:t>
            </w:r>
          </w:p>
        </w:tc>
        <w:tc>
          <w:tcPr>
            <w:tcW w:w="631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D86DD6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依次查看流量热力、事件预警、信号设备和教学任务图层。</w:t>
            </w:r>
          </w:p>
        </w:tc>
      </w:tr>
      <w:tr w14:paraId="5E48B931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0469F5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4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CD126B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点击“进入 3D 数模场景”。</w:t>
            </w:r>
          </w:p>
        </w:tc>
        <w:tc>
          <w:tcPr>
            <w:tcW w:w="631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DA4F2B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进入 3D 数模页面，观察路段、车道、信号和事件对象。</w:t>
            </w:r>
          </w:p>
        </w:tc>
      </w:tr>
      <w:tr w14:paraId="588DE2FC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EE7B2F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5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6B36F6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点击“启动仿真推演”。</w:t>
            </w:r>
          </w:p>
        </w:tc>
        <w:tc>
          <w:tcPr>
            <w:tcW w:w="631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51E2AB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进入仿真推演页面，查看控制方案前后指标变化。</w:t>
            </w:r>
          </w:p>
        </w:tc>
      </w:tr>
      <w:tr w14:paraId="3E5A50DA">
        <w:trPr>
          <w:trHeight w:val="0" w:hRule="atLeast"/>
          <w:jc w:val="center"/>
        </w:trPr>
        <w:tc>
          <w:tcPr>
            <w:tcW w:w="75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D65E01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6</w:t>
            </w:r>
          </w:p>
        </w:tc>
        <w:tc>
          <w:tcPr>
            <w:tcW w:w="329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13C2D8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查看教学实训驾驶舱。</w:t>
            </w:r>
          </w:p>
        </w:tc>
        <w:tc>
          <w:tcPr>
            <w:tcW w:w="631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5B556C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确认当前课程、任务、学生分组、完成率和平均得分。</w:t>
            </w:r>
          </w:p>
        </w:tc>
      </w:tr>
    </w:tbl>
    <w:p w14:paraId="2AF23DE5">
      <w:pPr>
        <w:rPr>
          <w:rFonts w:hint="default" w:ascii="Times New Roman Regular" w:hAnsi="Times New Roman Regular" w:eastAsia="仿宋" w:cs="Times New Roman Regular"/>
        </w:rPr>
      </w:pPr>
    </w:p>
    <w:tbl>
      <w:tblPr>
        <w:tblStyle w:val="3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8"/>
      </w:tblGrid>
      <w:tr w14:paraId="136F4E28">
        <w:trPr>
          <w:jc w:val="center"/>
        </w:trPr>
        <w:tc>
          <w:tcPr>
            <w:tcW w:w="5000" w:type="pct"/>
            <w:tcBorders>
              <w:top w:val="single" w:color="8BB7E8" w:sz="8" w:space="0"/>
              <w:left w:val="single" w:color="8BB7E8" w:sz="8" w:space="0"/>
              <w:bottom w:val="single" w:color="8BB7E8" w:sz="8" w:space="0"/>
              <w:right w:val="single" w:color="8BB7E8" w:sz="8" w:space="0"/>
            </w:tcBorders>
            <w:shd w:val="clear" w:color="auto" w:fill="EAF3FF"/>
          </w:tcPr>
          <w:p w14:paraId="097BE93A">
            <w:pPr>
              <w:spacing w:after="60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1F4E79"/>
                <w:sz w:val="21"/>
              </w:rPr>
              <w:t>展示提示</w:t>
            </w:r>
          </w:p>
          <w:p w14:paraId="40B9E8E4">
            <w:pPr>
              <w:spacing w:line="288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本页建议讲解 40—60 秒。核心表达是：交通数据不是孤立显示，而是同步驱动路网状态、教学任务和学生评价。</w:t>
            </w:r>
          </w:p>
        </w:tc>
      </w:tr>
    </w:tbl>
    <w:p w14:paraId="7D535447">
      <w:pPr>
        <w:rPr>
          <w:rFonts w:hint="default" w:ascii="Times New Roman Regular" w:hAnsi="Times New Roman Regular" w:eastAsia="仿宋" w:cs="Times New Roman Regular"/>
        </w:rPr>
      </w:pPr>
    </w:p>
    <w:p w14:paraId="133A8358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数据感知模块操作说明</w:t>
      </w:r>
    </w:p>
    <w:p w14:paraId="5334E656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数据感知模块承载 TrafficInsight 原有交通运行数据基础，包括流量态势、流量统计、违法态势、事故态势、嫌疑车分析和 ETC 超速评估。该模块是系统“数据驱动”的基础证据，也是学生开展态势识别和方案设计前的资料来源。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5592"/>
        <w:gridCol w:w="3044"/>
      </w:tblGrid>
      <w:tr w14:paraId="5BFAD2F7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4884B3E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数据模块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562339A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核心指标</w:t>
            </w:r>
          </w:p>
        </w:tc>
        <w:tc>
          <w:tcPr>
            <w:tcW w:w="304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1344057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课程实训作用</w:t>
            </w:r>
          </w:p>
        </w:tc>
      </w:tr>
      <w:tr w14:paraId="22023528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E9E95A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流量态势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833D49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区域流量、高负荷路段、平均饱和度、检测器在线率</w:t>
            </w:r>
          </w:p>
        </w:tc>
        <w:tc>
          <w:tcPr>
            <w:tcW w:w="304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D1DC47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支撑路网态势感知任务。</w:t>
            </w:r>
          </w:p>
        </w:tc>
      </w:tr>
      <w:tr w14:paraId="283C4233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41E024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流量统计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9BAF1B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早高峰总量、主方向占比、峰小时系数</w:t>
            </w:r>
          </w:p>
        </w:tc>
        <w:tc>
          <w:tcPr>
            <w:tcW w:w="304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088D66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支撑交通需求分析。</w:t>
            </w:r>
          </w:p>
        </w:tc>
      </w:tr>
      <w:tr w14:paraId="0E946587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6EDEA3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违法态势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AA47D8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违法风险、压线变道、闯红灯、设备覆盖率</w:t>
            </w:r>
          </w:p>
        </w:tc>
        <w:tc>
          <w:tcPr>
            <w:tcW w:w="304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C13F47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支撑交通安全研判。</w:t>
            </w:r>
          </w:p>
        </w:tc>
      </w:tr>
      <w:tr w14:paraId="44767439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98FB18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事故态势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75018F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事故事件、持续时间、影响路段、处置建议</w:t>
            </w:r>
          </w:p>
        </w:tc>
        <w:tc>
          <w:tcPr>
            <w:tcW w:w="304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06E25B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支撑事件应急管控。</w:t>
            </w:r>
          </w:p>
        </w:tc>
      </w:tr>
      <w:tr w14:paraId="6962BF5B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F19C18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嫌疑车分析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6FE8A9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重点车辆、异常轨迹、风险分、轨迹完整率</w:t>
            </w:r>
          </w:p>
        </w:tc>
        <w:tc>
          <w:tcPr>
            <w:tcW w:w="304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0EA559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支撑轨迹识别与风险分析。</w:t>
            </w:r>
          </w:p>
        </w:tc>
      </w:tr>
      <w:tr w14:paraId="52DF8E5A">
        <w:trPr>
          <w:trHeight w:val="0" w:hRule="atLeast"/>
          <w:jc w:val="center"/>
        </w:trPr>
        <w:tc>
          <w:tcPr>
            <w:tcW w:w="172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577D50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ETC 超速评估</w:t>
            </w:r>
          </w:p>
        </w:tc>
        <w:tc>
          <w:tcPr>
            <w:tcW w:w="559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EB41C4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超速次数、最高速度、平均超速率、重点区间</w:t>
            </w:r>
          </w:p>
        </w:tc>
        <w:tc>
          <w:tcPr>
            <w:tcW w:w="304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0ED51C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支撑速度异常分析。</w:t>
            </w:r>
          </w:p>
        </w:tc>
      </w:tr>
    </w:tbl>
    <w:p w14:paraId="60F1F992">
      <w:pPr>
        <w:rPr>
          <w:rFonts w:hint="default" w:ascii="Times New Roman Regular" w:hAnsi="Times New Roman Regular" w:eastAsia="仿宋" w:cs="Times New Roman Regular"/>
        </w:rPr>
      </w:pPr>
    </w:p>
    <w:p w14:paraId="2C801D23">
      <w:pPr>
        <w:pStyle w:val="4"/>
        <w:numPr>
          <w:ilvl w:val="0"/>
          <w:numId w:val="15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操作步骤</w:t>
      </w:r>
    </w:p>
    <w:tbl>
      <w:tblPr>
        <w:tblStyle w:val="3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2861"/>
        <w:gridCol w:w="6726"/>
      </w:tblGrid>
      <w:tr w14:paraId="4897BB35">
        <w:trPr>
          <w:trHeight w:val="0" w:hRule="atLeast"/>
          <w:tblHeader/>
          <w:jc w:val="center"/>
        </w:trPr>
        <w:tc>
          <w:tcPr>
            <w:tcW w:w="37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7EEEF1D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步骤</w:t>
            </w:r>
          </w:p>
        </w:tc>
        <w:tc>
          <w:tcPr>
            <w:tcW w:w="138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37FE151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操作</w:t>
            </w:r>
          </w:p>
        </w:tc>
        <w:tc>
          <w:tcPr>
            <w:tcW w:w="324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632A8DF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教学要求</w:t>
            </w:r>
          </w:p>
        </w:tc>
      </w:tr>
      <w:tr w14:paraId="7B7B2F9D">
        <w:trPr>
          <w:trHeight w:val="0" w:hRule="atLeast"/>
          <w:jc w:val="center"/>
        </w:trPr>
        <w:tc>
          <w:tcPr>
            <w:tcW w:w="37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47F37F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</w:t>
            </w:r>
          </w:p>
        </w:tc>
        <w:tc>
          <w:tcPr>
            <w:tcW w:w="138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9B112E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进入“数据感知”页面。</w:t>
            </w:r>
          </w:p>
        </w:tc>
        <w:tc>
          <w:tcPr>
            <w:tcW w:w="324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3F8499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浏览六类数据模块，明确数据来源。</w:t>
            </w:r>
          </w:p>
        </w:tc>
      </w:tr>
      <w:tr w14:paraId="055765BD">
        <w:trPr>
          <w:trHeight w:val="0" w:hRule="atLeast"/>
          <w:jc w:val="center"/>
        </w:trPr>
        <w:tc>
          <w:tcPr>
            <w:tcW w:w="37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448DF9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2</w:t>
            </w:r>
          </w:p>
        </w:tc>
        <w:tc>
          <w:tcPr>
            <w:tcW w:w="138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24FD2B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选择某一数据模块。</w:t>
            </w:r>
          </w:p>
        </w:tc>
        <w:tc>
          <w:tcPr>
            <w:tcW w:w="324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2346F6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阅读指标卡、趋势图和数据表。</w:t>
            </w:r>
          </w:p>
        </w:tc>
      </w:tr>
      <w:tr w14:paraId="38F9C485">
        <w:trPr>
          <w:trHeight w:val="0" w:hRule="atLeast"/>
          <w:jc w:val="center"/>
        </w:trPr>
        <w:tc>
          <w:tcPr>
            <w:tcW w:w="37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36788C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</w:t>
            </w:r>
          </w:p>
        </w:tc>
        <w:tc>
          <w:tcPr>
            <w:tcW w:w="138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5F93D0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记录关键数据。</w:t>
            </w:r>
          </w:p>
        </w:tc>
        <w:tc>
          <w:tcPr>
            <w:tcW w:w="324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89D580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学生填写“数据读取表”，记录流量、速度、事件和风险指标。</w:t>
            </w:r>
          </w:p>
        </w:tc>
      </w:tr>
      <w:tr w14:paraId="6394D1E2">
        <w:trPr>
          <w:trHeight w:val="0" w:hRule="atLeast"/>
          <w:jc w:val="center"/>
        </w:trPr>
        <w:tc>
          <w:tcPr>
            <w:tcW w:w="37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A46261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4</w:t>
            </w:r>
          </w:p>
        </w:tc>
        <w:tc>
          <w:tcPr>
            <w:tcW w:w="138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D05580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阅读教学应用说明。</w:t>
            </w:r>
          </w:p>
        </w:tc>
        <w:tc>
          <w:tcPr>
            <w:tcW w:w="324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BCF24B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理解数据如何转化为实训任务。</w:t>
            </w:r>
          </w:p>
        </w:tc>
      </w:tr>
      <w:tr w14:paraId="1FFE5337">
        <w:trPr>
          <w:trHeight w:val="0" w:hRule="atLeast"/>
          <w:jc w:val="center"/>
        </w:trPr>
        <w:tc>
          <w:tcPr>
            <w:tcW w:w="37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FC4965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5</w:t>
            </w:r>
          </w:p>
        </w:tc>
        <w:tc>
          <w:tcPr>
            <w:tcW w:w="138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7B8D5A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进入 3D 数模页面验证。</w:t>
            </w:r>
          </w:p>
        </w:tc>
        <w:tc>
          <w:tcPr>
            <w:tcW w:w="324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9D157E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把数据变化对应到道路、信号、车辆和事件对象。</w:t>
            </w:r>
          </w:p>
        </w:tc>
      </w:tr>
    </w:tbl>
    <w:p w14:paraId="05A06EB1">
      <w:pPr>
        <w:rPr>
          <w:rFonts w:hint="default" w:ascii="Times New Roman Regular" w:hAnsi="Times New Roman Regular" w:eastAsia="仿宋" w:cs="Times New Roman Regular"/>
        </w:rPr>
      </w:pPr>
    </w:p>
    <w:p w14:paraId="7FC5DCA0">
      <w:pPr>
        <w:pStyle w:val="4"/>
        <w:numPr>
          <w:ilvl w:val="0"/>
          <w:numId w:val="15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数据读取表建议</w:t>
      </w:r>
    </w:p>
    <w:tbl>
      <w:tblPr>
        <w:tblStyle w:val="3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4553"/>
        <w:gridCol w:w="4256"/>
      </w:tblGrid>
      <w:tr w14:paraId="51E7FAB1">
        <w:trPr>
          <w:trHeight w:val="0" w:hRule="atLeast"/>
          <w:tblHeader/>
          <w:jc w:val="center"/>
        </w:trPr>
        <w:tc>
          <w:tcPr>
            <w:tcW w:w="74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09EF864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记录项</w:t>
            </w:r>
          </w:p>
        </w:tc>
        <w:tc>
          <w:tcPr>
            <w:tcW w:w="219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B654AD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学生填写内容</w:t>
            </w:r>
          </w:p>
        </w:tc>
        <w:tc>
          <w:tcPr>
            <w:tcW w:w="205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B2D863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用途</w:t>
            </w:r>
          </w:p>
        </w:tc>
      </w:tr>
      <w:tr w14:paraId="2349DB29">
        <w:trPr>
          <w:trHeight w:val="0" w:hRule="atLeast"/>
          <w:jc w:val="center"/>
        </w:trPr>
        <w:tc>
          <w:tcPr>
            <w:tcW w:w="74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69E6EE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异常路段</w:t>
            </w:r>
          </w:p>
        </w:tc>
        <w:tc>
          <w:tcPr>
            <w:tcW w:w="219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B3BAD4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如人民路西进口、学院路北进口</w:t>
            </w:r>
          </w:p>
        </w:tc>
        <w:tc>
          <w:tcPr>
            <w:tcW w:w="205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7A5A89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用于确定实训诊断对象。</w:t>
            </w:r>
          </w:p>
        </w:tc>
      </w:tr>
      <w:tr w14:paraId="123DAA05">
        <w:trPr>
          <w:trHeight w:val="0" w:hRule="atLeast"/>
          <w:jc w:val="center"/>
        </w:trPr>
        <w:tc>
          <w:tcPr>
            <w:tcW w:w="74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96B3C2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交通量</w:t>
            </w:r>
          </w:p>
        </w:tc>
        <w:tc>
          <w:tcPr>
            <w:tcW w:w="219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F2E686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pcu/h 或车辆数</w:t>
            </w:r>
          </w:p>
        </w:tc>
        <w:tc>
          <w:tcPr>
            <w:tcW w:w="205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B3435B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判断交通需求强度。</w:t>
            </w:r>
          </w:p>
        </w:tc>
      </w:tr>
      <w:tr w14:paraId="324B89E5">
        <w:trPr>
          <w:trHeight w:val="0" w:hRule="atLeast"/>
          <w:jc w:val="center"/>
        </w:trPr>
        <w:tc>
          <w:tcPr>
            <w:tcW w:w="74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7A9E34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速度</w:t>
            </w:r>
          </w:p>
        </w:tc>
        <w:tc>
          <w:tcPr>
            <w:tcW w:w="219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D38094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km/h</w:t>
            </w:r>
          </w:p>
        </w:tc>
        <w:tc>
          <w:tcPr>
            <w:tcW w:w="205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128458E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判断运行效率。</w:t>
            </w:r>
          </w:p>
        </w:tc>
      </w:tr>
      <w:tr w14:paraId="5C1D097F">
        <w:trPr>
          <w:trHeight w:val="0" w:hRule="atLeast"/>
          <w:jc w:val="center"/>
        </w:trPr>
        <w:tc>
          <w:tcPr>
            <w:tcW w:w="74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3B9215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排队长度</w:t>
            </w:r>
          </w:p>
        </w:tc>
        <w:tc>
          <w:tcPr>
            <w:tcW w:w="219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669558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m</w:t>
            </w:r>
          </w:p>
        </w:tc>
        <w:tc>
          <w:tcPr>
            <w:tcW w:w="205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BE4BF5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判断溢出风险。</w:t>
            </w:r>
          </w:p>
        </w:tc>
      </w:tr>
      <w:tr w14:paraId="58792B6B">
        <w:trPr>
          <w:trHeight w:val="0" w:hRule="atLeast"/>
          <w:jc w:val="center"/>
        </w:trPr>
        <w:tc>
          <w:tcPr>
            <w:tcW w:w="74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FA8335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事件类型</w:t>
            </w:r>
          </w:p>
        </w:tc>
        <w:tc>
          <w:tcPr>
            <w:tcW w:w="219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8EEE46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事故、违法、排队溢出等</w:t>
            </w:r>
          </w:p>
        </w:tc>
        <w:tc>
          <w:tcPr>
            <w:tcW w:w="205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AF0019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判断是否进入事件管控流程。</w:t>
            </w:r>
          </w:p>
        </w:tc>
      </w:tr>
      <w:tr w14:paraId="5BDF636F">
        <w:trPr>
          <w:trHeight w:val="0" w:hRule="atLeast"/>
          <w:jc w:val="center"/>
        </w:trPr>
        <w:tc>
          <w:tcPr>
            <w:tcW w:w="74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76C24E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初步判断</w:t>
            </w:r>
          </w:p>
        </w:tc>
        <w:tc>
          <w:tcPr>
            <w:tcW w:w="219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7FD1E8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拥堵/缓行/畅通/风险预警</w:t>
            </w:r>
          </w:p>
        </w:tc>
        <w:tc>
          <w:tcPr>
            <w:tcW w:w="205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64C6FA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作为学生方案设计依据。</w:t>
            </w:r>
          </w:p>
        </w:tc>
      </w:tr>
    </w:tbl>
    <w:p w14:paraId="0616A80E">
      <w:pPr>
        <w:rPr>
          <w:rFonts w:hint="default" w:ascii="Times New Roman Regular" w:hAnsi="Times New Roman Regular" w:eastAsia="仿宋" w:cs="Times New Roman Regular"/>
        </w:rPr>
      </w:pPr>
    </w:p>
    <w:p w14:paraId="1770FBD7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3D 数模模块操作说明</w:t>
      </w:r>
    </w:p>
    <w:p w14:paraId="21050AF6">
      <w:pPr>
        <w:jc w:val="center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drawing>
          <wp:inline distT="0" distB="0" distL="114300" distR="114300">
            <wp:extent cx="5852160" cy="3246120"/>
            <wp:effectExtent l="0" t="0" r="1524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289CB">
      <w:pPr>
        <w:pStyle w:val="166"/>
        <w:widowControl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图 9-1  3D 数模页面：GIS 路网、局部 3D 交叉口与当前选中对象联动</w:t>
      </w:r>
    </w:p>
    <w:p w14:paraId="21AF1C4D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3D 数模页面是系统体现“数据与 3D 数模双驱动”的核心页面。该页面将交通样例数据映射到 GIS 路网、局部 3D 交叉口、路段状态、信号机、检测器、事件点和当前对象详情。</w:t>
      </w:r>
    </w:p>
    <w:p w14:paraId="3B3822EA">
      <w:pPr>
        <w:pStyle w:val="4"/>
        <w:numPr>
          <w:ilvl w:val="0"/>
          <w:numId w:val="16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页面区域说明</w:t>
      </w:r>
    </w:p>
    <w:tbl>
      <w:tblPr>
        <w:tblStyle w:val="3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5487"/>
        <w:gridCol w:w="2895"/>
      </w:tblGrid>
      <w:tr w14:paraId="2829E1E8">
        <w:trPr>
          <w:trHeight w:val="0" w:hRule="atLeast"/>
          <w:tblHeader/>
          <w:jc w:val="center"/>
        </w:trPr>
        <w:tc>
          <w:tcPr>
            <w:tcW w:w="953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75C5588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区域</w:t>
            </w:r>
          </w:p>
        </w:tc>
        <w:tc>
          <w:tcPr>
            <w:tcW w:w="264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1672A33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说明</w:t>
            </w:r>
          </w:p>
        </w:tc>
        <w:tc>
          <w:tcPr>
            <w:tcW w:w="139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1544C1A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操作重点</w:t>
            </w:r>
          </w:p>
        </w:tc>
      </w:tr>
      <w:tr w14:paraId="6275108A">
        <w:trPr>
          <w:trHeight w:val="0" w:hRule="atLeast"/>
          <w:jc w:val="center"/>
        </w:trPr>
        <w:tc>
          <w:tcPr>
            <w:tcW w:w="953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31094C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GIS 路网态势联动</w:t>
            </w:r>
          </w:p>
        </w:tc>
        <w:tc>
          <w:tcPr>
            <w:tcW w:w="264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223195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展示路网底图、北进口/南进口、摄像头、信号机和事件对象。</w:t>
            </w:r>
          </w:p>
        </w:tc>
        <w:tc>
          <w:tcPr>
            <w:tcW w:w="139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C53F6F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先从宏观层面识别关键路段和事件点。</w:t>
            </w:r>
          </w:p>
        </w:tc>
      </w:tr>
      <w:tr w14:paraId="56EAAC5C">
        <w:trPr>
          <w:trHeight w:val="0" w:hRule="atLeast"/>
          <w:jc w:val="center"/>
        </w:trPr>
        <w:tc>
          <w:tcPr>
            <w:tcW w:w="953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81EBF4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局部 3D 交叉口数字孪生</w:t>
            </w:r>
          </w:p>
        </w:tc>
        <w:tc>
          <w:tcPr>
            <w:tcW w:w="264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8DE32B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展示交叉口车道、车辆、信号灯、检测器、事件点和图例。</w:t>
            </w:r>
          </w:p>
        </w:tc>
        <w:tc>
          <w:tcPr>
            <w:tcW w:w="139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CD017D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观察数据如何映射为 3D 对象状态。</w:t>
            </w:r>
          </w:p>
        </w:tc>
      </w:tr>
      <w:tr w14:paraId="0FE1040D">
        <w:trPr>
          <w:trHeight w:val="0" w:hRule="atLeast"/>
          <w:jc w:val="center"/>
        </w:trPr>
        <w:tc>
          <w:tcPr>
            <w:tcW w:w="953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C19446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当前选中对象</w:t>
            </w:r>
          </w:p>
        </w:tc>
        <w:tc>
          <w:tcPr>
            <w:tcW w:w="264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D0AF85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显示路段或设备对象名称、类型、速度、交通量、排队长度、状态和教学提示。</w:t>
            </w:r>
          </w:p>
        </w:tc>
        <w:tc>
          <w:tcPr>
            <w:tcW w:w="139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8F2D48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点击对象后查看详情，作为诊断依据。</w:t>
            </w:r>
          </w:p>
        </w:tc>
      </w:tr>
      <w:tr w14:paraId="046AC641">
        <w:trPr>
          <w:trHeight w:val="0" w:hRule="atLeast"/>
          <w:jc w:val="center"/>
        </w:trPr>
        <w:tc>
          <w:tcPr>
            <w:tcW w:w="953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B9F6BB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状态映射表</w:t>
            </w:r>
          </w:p>
        </w:tc>
        <w:tc>
          <w:tcPr>
            <w:tcW w:w="264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6772D6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结构化展示路段速度、流量、排队、拥堵指数和状态光带。</w:t>
            </w:r>
          </w:p>
        </w:tc>
        <w:tc>
          <w:tcPr>
            <w:tcW w:w="139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38577C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用于数据核验和课堂记录。</w:t>
            </w:r>
          </w:p>
        </w:tc>
      </w:tr>
      <w:tr w14:paraId="68185A97">
        <w:trPr>
          <w:trHeight w:val="0" w:hRule="atLeast"/>
          <w:jc w:val="center"/>
        </w:trPr>
        <w:tc>
          <w:tcPr>
            <w:tcW w:w="953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DC7572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设备事件表</w:t>
            </w:r>
          </w:p>
        </w:tc>
        <w:tc>
          <w:tcPr>
            <w:tcW w:w="264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2D999FE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展示信号机、检测器、事件对象及其运行状态。</w:t>
            </w:r>
          </w:p>
        </w:tc>
        <w:tc>
          <w:tcPr>
            <w:tcW w:w="139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3C45C6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用于解释数据采集和事件触发来源。</w:t>
            </w:r>
          </w:p>
        </w:tc>
      </w:tr>
    </w:tbl>
    <w:p w14:paraId="40B1148D">
      <w:pPr>
        <w:rPr>
          <w:rFonts w:hint="default" w:ascii="Times New Roman Regular" w:hAnsi="Times New Roman Regular" w:eastAsia="仿宋" w:cs="Times New Roman Regular"/>
        </w:rPr>
      </w:pPr>
    </w:p>
    <w:p w14:paraId="3739B4A2">
      <w:pPr>
        <w:jc w:val="center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drawing>
          <wp:inline distT="0" distB="0" distL="114300" distR="114300">
            <wp:extent cx="4754880" cy="7252335"/>
            <wp:effectExtent l="0" t="0" r="20320" b="1206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725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DFB3A">
      <w:pPr>
        <w:pStyle w:val="166"/>
        <w:widowControl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图 9-2  3D 数模完整页面示意：路网状态映射表与设备事件对象表</w:t>
      </w:r>
    </w:p>
    <w:p w14:paraId="7D9F7B61">
      <w:pPr>
        <w:pStyle w:val="4"/>
        <w:numPr>
          <w:ilvl w:val="0"/>
          <w:numId w:val="16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操作步骤</w:t>
      </w:r>
    </w:p>
    <w:tbl>
      <w:tblPr>
        <w:tblStyle w:val="3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3564"/>
        <w:gridCol w:w="6152"/>
      </w:tblGrid>
      <w:tr w14:paraId="47DF0B83">
        <w:trPr>
          <w:trHeight w:val="0" w:hRule="atLeast"/>
          <w:tblHeader/>
          <w:jc w:val="center"/>
        </w:trPr>
        <w:tc>
          <w:tcPr>
            <w:tcW w:w="309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47A6C976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步骤</w:t>
            </w:r>
          </w:p>
        </w:tc>
        <w:tc>
          <w:tcPr>
            <w:tcW w:w="1720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5366E3DF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操作</w:t>
            </w:r>
          </w:p>
        </w:tc>
        <w:tc>
          <w:tcPr>
            <w:tcW w:w="2969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7E646BFF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预期结果</w:t>
            </w:r>
          </w:p>
        </w:tc>
      </w:tr>
      <w:tr w14:paraId="5972EB8A">
        <w:trPr>
          <w:trHeight w:val="0" w:hRule="atLeast"/>
          <w:jc w:val="center"/>
        </w:trPr>
        <w:tc>
          <w:tcPr>
            <w:tcW w:w="309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50558CB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</w:t>
            </w:r>
          </w:p>
        </w:tc>
        <w:tc>
          <w:tcPr>
            <w:tcW w:w="1720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BFCF750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进入“3D 数模”页面。</w:t>
            </w:r>
          </w:p>
        </w:tc>
        <w:tc>
          <w:tcPr>
            <w:tcW w:w="2969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4FF7A8C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系统展示 GIS 路网和局部 3D 交叉口。</w:t>
            </w:r>
          </w:p>
        </w:tc>
      </w:tr>
      <w:tr w14:paraId="02BE0DC7">
        <w:trPr>
          <w:trHeight w:val="0" w:hRule="atLeast"/>
          <w:jc w:val="center"/>
        </w:trPr>
        <w:tc>
          <w:tcPr>
            <w:tcW w:w="309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D597E2B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2</w:t>
            </w:r>
          </w:p>
        </w:tc>
        <w:tc>
          <w:tcPr>
            <w:tcW w:w="1720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B4D339D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观察左侧 GIS 路网态势。</w:t>
            </w:r>
          </w:p>
        </w:tc>
        <w:tc>
          <w:tcPr>
            <w:tcW w:w="2969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02BD892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识别北进口、南进口、摄像头、信号机和事件点。</w:t>
            </w:r>
          </w:p>
        </w:tc>
      </w:tr>
      <w:tr w14:paraId="38B10426">
        <w:trPr>
          <w:trHeight w:val="0" w:hRule="atLeast"/>
          <w:jc w:val="center"/>
        </w:trPr>
        <w:tc>
          <w:tcPr>
            <w:tcW w:w="309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C962C7C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</w:t>
            </w:r>
          </w:p>
        </w:tc>
        <w:tc>
          <w:tcPr>
            <w:tcW w:w="1720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4F2EB82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观察中间 3D 交叉口。</w:t>
            </w:r>
          </w:p>
        </w:tc>
        <w:tc>
          <w:tcPr>
            <w:tcW w:w="2969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964F0CC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识别红色拥堵、黄色缓行、绿色畅通、蓝色检测器和红色闪烁事件点。</w:t>
            </w:r>
          </w:p>
        </w:tc>
      </w:tr>
      <w:tr w14:paraId="40C89CBD">
        <w:trPr>
          <w:trHeight w:val="0" w:hRule="atLeast"/>
          <w:jc w:val="center"/>
        </w:trPr>
        <w:tc>
          <w:tcPr>
            <w:tcW w:w="309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76B0727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4</w:t>
            </w:r>
          </w:p>
        </w:tc>
        <w:tc>
          <w:tcPr>
            <w:tcW w:w="1720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C42869B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点击路段、信号机或事件点。</w:t>
            </w:r>
          </w:p>
        </w:tc>
        <w:tc>
          <w:tcPr>
            <w:tcW w:w="2969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BC4ACCC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右侧显示当前选中对象详情。</w:t>
            </w:r>
          </w:p>
        </w:tc>
      </w:tr>
      <w:tr w14:paraId="14D1FB91">
        <w:trPr>
          <w:trHeight w:val="0" w:hRule="atLeast"/>
          <w:jc w:val="center"/>
        </w:trPr>
        <w:tc>
          <w:tcPr>
            <w:tcW w:w="309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94DE4B9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5</w:t>
            </w:r>
          </w:p>
        </w:tc>
        <w:tc>
          <w:tcPr>
            <w:tcW w:w="1720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6A52803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查看速度、交通量、排队长度和状态。</w:t>
            </w:r>
          </w:p>
        </w:tc>
        <w:tc>
          <w:tcPr>
            <w:tcW w:w="2969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56872D0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判断路段运行状态和拥堵原因。</w:t>
            </w:r>
          </w:p>
        </w:tc>
      </w:tr>
      <w:tr w14:paraId="27DFDEB9">
        <w:trPr>
          <w:trHeight w:val="0" w:hRule="atLeast"/>
          <w:jc w:val="center"/>
        </w:trPr>
        <w:tc>
          <w:tcPr>
            <w:tcW w:w="309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8D983F5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6</w:t>
            </w:r>
          </w:p>
        </w:tc>
        <w:tc>
          <w:tcPr>
            <w:tcW w:w="1720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29C40AB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点击“进入学生实训”。</w:t>
            </w:r>
          </w:p>
        </w:tc>
        <w:tc>
          <w:tcPr>
            <w:tcW w:w="2969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07F756D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转入学生端完成参数设置和方案提交。</w:t>
            </w:r>
          </w:p>
        </w:tc>
      </w:tr>
      <w:tr w14:paraId="6574C9F5">
        <w:trPr>
          <w:trHeight w:val="0" w:hRule="atLeast"/>
          <w:jc w:val="center"/>
        </w:trPr>
        <w:tc>
          <w:tcPr>
            <w:tcW w:w="309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D7FEC31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7</w:t>
            </w:r>
          </w:p>
        </w:tc>
        <w:tc>
          <w:tcPr>
            <w:tcW w:w="1720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29DCAA8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点击“启动仿真推演”。</w:t>
            </w:r>
          </w:p>
        </w:tc>
        <w:tc>
          <w:tcPr>
            <w:tcW w:w="2969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3BF1586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进入仿真页面查看控制方案前后指标变化。</w:t>
            </w:r>
          </w:p>
        </w:tc>
      </w:tr>
    </w:tbl>
    <w:p w14:paraId="1A05048E">
      <w:pPr>
        <w:rPr>
          <w:rFonts w:hint="default" w:ascii="Times New Roman Regular" w:hAnsi="Times New Roman Regular" w:eastAsia="仿宋" w:cs="Times New Roman Regular"/>
        </w:rPr>
      </w:pPr>
    </w:p>
    <w:p w14:paraId="731FAB16">
      <w:pPr>
        <w:pStyle w:val="4"/>
        <w:numPr>
          <w:ilvl w:val="0"/>
          <w:numId w:val="16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数据—对象映射解释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4185"/>
        <w:gridCol w:w="4429"/>
      </w:tblGrid>
      <w:tr w14:paraId="045B33C2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5D3E522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数据变化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169B403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数模呈现</w:t>
            </w:r>
          </w:p>
        </w:tc>
        <w:tc>
          <w:tcPr>
            <w:tcW w:w="442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034C99F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教学解释</w:t>
            </w:r>
          </w:p>
        </w:tc>
      </w:tr>
      <w:tr w14:paraId="3F13754C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CE1D53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速度下降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570DCC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道路状态光带由绿色变黄或红色</w:t>
            </w:r>
          </w:p>
        </w:tc>
        <w:tc>
          <w:tcPr>
            <w:tcW w:w="442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EB51ED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说明交通运行效率下降。</w:t>
            </w:r>
          </w:p>
        </w:tc>
      </w:tr>
      <w:tr w14:paraId="69B34916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1C4614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排队长度增加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1444A9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进口道出现拥堵标记或排队溢出提示</w:t>
            </w:r>
          </w:p>
        </w:tc>
        <w:tc>
          <w:tcPr>
            <w:tcW w:w="442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090CFB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说明信号配时或流量需求存在瓶颈。</w:t>
            </w:r>
          </w:p>
        </w:tc>
      </w:tr>
      <w:tr w14:paraId="39ACF2B0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36D1B4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事故事件触发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6A7D23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红色闪烁事件点出现</w:t>
            </w:r>
          </w:p>
        </w:tc>
        <w:tc>
          <w:tcPr>
            <w:tcW w:w="442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DC728D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说明需要进行事件分级和应急管控。</w:t>
            </w:r>
          </w:p>
        </w:tc>
      </w:tr>
      <w:tr w14:paraId="2B10FD53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C5A191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信号状态变化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4E2ECE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信号机对象显示红/绿状态</w:t>
            </w:r>
          </w:p>
        </w:tc>
        <w:tc>
          <w:tcPr>
            <w:tcW w:w="442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88F420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说明控制策略会影响进口道通行能力。</w:t>
            </w:r>
          </w:p>
        </w:tc>
      </w:tr>
      <w:tr w14:paraId="5C93703B">
        <w:trPr>
          <w:trHeight w:val="0" w:hRule="atLeast"/>
          <w:jc w:val="center"/>
        </w:trPr>
        <w:tc>
          <w:tcPr>
            <w:tcW w:w="174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912BB0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检测器在线</w:t>
            </w:r>
          </w:p>
        </w:tc>
        <w:tc>
          <w:tcPr>
            <w:tcW w:w="418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BF08C2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蓝色检测器对象显示在线</w:t>
            </w:r>
          </w:p>
        </w:tc>
        <w:tc>
          <w:tcPr>
            <w:tcW w:w="442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43DC22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说明数据采集对象可用。</w:t>
            </w:r>
          </w:p>
        </w:tc>
      </w:tr>
    </w:tbl>
    <w:p w14:paraId="522FA731">
      <w:pPr>
        <w:rPr>
          <w:rFonts w:hint="default" w:ascii="Times New Roman Regular" w:hAnsi="Times New Roman Regular" w:eastAsia="仿宋" w:cs="Times New Roman Regular"/>
        </w:rPr>
      </w:pPr>
    </w:p>
    <w:tbl>
      <w:tblPr>
        <w:tblStyle w:val="3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8"/>
      </w:tblGrid>
      <w:tr w14:paraId="2977039F">
        <w:trPr>
          <w:jc w:val="center"/>
        </w:trPr>
        <w:tc>
          <w:tcPr>
            <w:tcW w:w="5000" w:type="pct"/>
            <w:tcBorders>
              <w:top w:val="single" w:color="8BB7E8" w:sz="8" w:space="0"/>
              <w:left w:val="single" w:color="8BB7E8" w:sz="8" w:space="0"/>
              <w:bottom w:val="single" w:color="8BB7E8" w:sz="8" w:space="0"/>
              <w:right w:val="single" w:color="8BB7E8" w:sz="8" w:space="0"/>
            </w:tcBorders>
            <w:shd w:val="clear" w:color="auto" w:fill="EAF3FF"/>
          </w:tcPr>
          <w:p w14:paraId="2BD46CFB">
            <w:pPr>
              <w:spacing w:after="60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1F4E79"/>
                <w:sz w:val="21"/>
              </w:rPr>
              <w:t>展示提示</w:t>
            </w:r>
          </w:p>
          <w:p w14:paraId="42CF2224">
            <w:pPr>
              <w:spacing w:line="288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讲解本页时不要只说“这是 3D 图”，而要说明“数据如何驱动对象状态变化”。例如速度降低驱动道路状态由畅通转为缓行或拥堵，排队长度增加触发事件预警，信号机状态支撑配时优化任务。</w:t>
            </w:r>
          </w:p>
        </w:tc>
      </w:tr>
    </w:tbl>
    <w:p w14:paraId="1BC5F3FA">
      <w:pPr>
        <w:rPr>
          <w:rFonts w:hint="default" w:ascii="Times New Roman Regular" w:hAnsi="Times New Roman Regular" w:eastAsia="仿宋" w:cs="Times New Roman Regular"/>
        </w:rPr>
      </w:pPr>
    </w:p>
    <w:p w14:paraId="0C40A137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教师端任务组织操作说明</w:t>
      </w:r>
    </w:p>
    <w:p w14:paraId="6C6FDDC1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教师端用于将课程知识点转化为可操作的实训任务。教师可以选择课程、任务模板、案例背景、基础数据、场景参数、学生分组、评分标准和提交要求。</w:t>
      </w:r>
    </w:p>
    <w:p w14:paraId="7274AAE7">
      <w:pPr>
        <w:pStyle w:val="4"/>
        <w:numPr>
          <w:ilvl w:val="0"/>
          <w:numId w:val="17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推荐任务模板</w:t>
      </w:r>
    </w:p>
    <w:tbl>
      <w:tblPr>
        <w:tblStyle w:val="3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6"/>
        <w:gridCol w:w="3998"/>
        <w:gridCol w:w="4212"/>
      </w:tblGrid>
      <w:tr w14:paraId="76817127">
        <w:trPr>
          <w:trHeight w:val="0" w:hRule="atLeast"/>
          <w:tblHeader/>
          <w:jc w:val="center"/>
        </w:trPr>
        <w:tc>
          <w:tcPr>
            <w:tcW w:w="1036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7E6D900F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任务模板</w:t>
            </w:r>
          </w:p>
        </w:tc>
        <w:tc>
          <w:tcPr>
            <w:tcW w:w="1930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06AD1DC1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课程知识点</w:t>
            </w:r>
          </w:p>
        </w:tc>
        <w:tc>
          <w:tcPr>
            <w:tcW w:w="2033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04B62A8C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学生输出</w:t>
            </w:r>
          </w:p>
        </w:tc>
      </w:tr>
      <w:tr w14:paraId="09374DC3">
        <w:trPr>
          <w:trHeight w:val="0" w:hRule="atLeast"/>
          <w:jc w:val="center"/>
        </w:trPr>
        <w:tc>
          <w:tcPr>
            <w:tcW w:w="1036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5FE2AA6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路网态势感知</w:t>
            </w:r>
          </w:p>
        </w:tc>
        <w:tc>
          <w:tcPr>
            <w:tcW w:w="1930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8D746B1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交通状态采集、指标计算、拥堵判别</w:t>
            </w:r>
          </w:p>
        </w:tc>
        <w:tc>
          <w:tcPr>
            <w:tcW w:w="2033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5899C09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态势截图、瓶颈判断表、数据读取表。</w:t>
            </w:r>
          </w:p>
        </w:tc>
      </w:tr>
      <w:tr w14:paraId="7A4E51D0">
        <w:trPr>
          <w:trHeight w:val="0" w:hRule="atLeast"/>
          <w:jc w:val="center"/>
        </w:trPr>
        <w:tc>
          <w:tcPr>
            <w:tcW w:w="1036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8CA4E4C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交叉口信号优化</w:t>
            </w:r>
          </w:p>
        </w:tc>
        <w:tc>
          <w:tcPr>
            <w:tcW w:w="1930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1538F40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信号周期、绿信比、相位、延误评价</w:t>
            </w:r>
          </w:p>
        </w:tc>
        <w:tc>
          <w:tcPr>
            <w:tcW w:w="2033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E3613D0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配时方案、优化前后指标对比图。</w:t>
            </w:r>
          </w:p>
        </w:tc>
      </w:tr>
      <w:tr w14:paraId="1FE80626">
        <w:trPr>
          <w:trHeight w:val="0" w:hRule="atLeast"/>
          <w:jc w:val="center"/>
        </w:trPr>
        <w:tc>
          <w:tcPr>
            <w:tcW w:w="1036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D736444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交通事件应急管控</w:t>
            </w:r>
          </w:p>
        </w:tc>
        <w:tc>
          <w:tcPr>
            <w:tcW w:w="1930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E052863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事件检测、影响范围预测、应急策略</w:t>
            </w:r>
          </w:p>
        </w:tc>
        <w:tc>
          <w:tcPr>
            <w:tcW w:w="2033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F772163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事件影响图、管控决策单。</w:t>
            </w:r>
          </w:p>
        </w:tc>
      </w:tr>
      <w:tr w14:paraId="33ECA223">
        <w:trPr>
          <w:trHeight w:val="0" w:hRule="atLeast"/>
          <w:jc w:val="center"/>
        </w:trPr>
        <w:tc>
          <w:tcPr>
            <w:tcW w:w="1036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D99057B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重点区域综合治理</w:t>
            </w:r>
          </w:p>
        </w:tc>
        <w:tc>
          <w:tcPr>
            <w:tcW w:w="1930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51CC8E9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多源数据融合、区域治理、综合评价</w:t>
            </w:r>
          </w:p>
        </w:tc>
        <w:tc>
          <w:tcPr>
            <w:tcW w:w="2033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45B62C7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综合治理报告。</w:t>
            </w:r>
          </w:p>
        </w:tc>
      </w:tr>
    </w:tbl>
    <w:p w14:paraId="2CCD5407">
      <w:pPr>
        <w:rPr>
          <w:rFonts w:hint="default" w:ascii="Times New Roman Regular" w:hAnsi="Times New Roman Regular" w:eastAsia="仿宋" w:cs="Times New Roman Regular"/>
        </w:rPr>
      </w:pPr>
    </w:p>
    <w:p w14:paraId="565D8304">
      <w:pPr>
        <w:pStyle w:val="4"/>
        <w:numPr>
          <w:ilvl w:val="0"/>
          <w:numId w:val="17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教师端操作步骤</w:t>
      </w:r>
    </w:p>
    <w:tbl>
      <w:tblPr>
        <w:tblStyle w:val="3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826"/>
        <w:gridCol w:w="6832"/>
      </w:tblGrid>
      <w:tr w14:paraId="09D16360">
        <w:trPr>
          <w:trHeight w:val="0" w:hRule="atLeast"/>
          <w:tblHeader/>
          <w:jc w:val="center"/>
        </w:trPr>
        <w:tc>
          <w:tcPr>
            <w:tcW w:w="33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743FF0C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步骤</w:t>
            </w:r>
          </w:p>
        </w:tc>
        <w:tc>
          <w:tcPr>
            <w:tcW w:w="136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57553CF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操作</w:t>
            </w:r>
          </w:p>
        </w:tc>
        <w:tc>
          <w:tcPr>
            <w:tcW w:w="329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52EF0D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教师注意事项</w:t>
            </w:r>
          </w:p>
        </w:tc>
      </w:tr>
      <w:tr w14:paraId="523684F5">
        <w:trPr>
          <w:trHeight w:val="0" w:hRule="atLeast"/>
          <w:jc w:val="center"/>
        </w:trPr>
        <w:tc>
          <w:tcPr>
            <w:tcW w:w="33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7F4CDC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</w:t>
            </w:r>
          </w:p>
        </w:tc>
        <w:tc>
          <w:tcPr>
            <w:tcW w:w="136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FC175C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进入“教师端”页面。</w:t>
            </w:r>
          </w:p>
        </w:tc>
        <w:tc>
          <w:tcPr>
            <w:tcW w:w="329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B2A569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确认课程选择为《智能交通系统》或相关课程章节。</w:t>
            </w:r>
          </w:p>
        </w:tc>
      </w:tr>
      <w:tr w14:paraId="0F851601">
        <w:trPr>
          <w:trHeight w:val="0" w:hRule="atLeast"/>
          <w:jc w:val="center"/>
        </w:trPr>
        <w:tc>
          <w:tcPr>
            <w:tcW w:w="33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F6C506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2</w:t>
            </w:r>
          </w:p>
        </w:tc>
        <w:tc>
          <w:tcPr>
            <w:tcW w:w="136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E17AB1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选择任务模板。</w:t>
            </w:r>
          </w:p>
        </w:tc>
        <w:tc>
          <w:tcPr>
            <w:tcW w:w="329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1B8694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建议课堂演示优先选择“交叉口拥堵诊断与信号优化”。</w:t>
            </w:r>
          </w:p>
        </w:tc>
      </w:tr>
      <w:tr w14:paraId="5FEAA281">
        <w:trPr>
          <w:trHeight w:val="0" w:hRule="atLeast"/>
          <w:jc w:val="center"/>
        </w:trPr>
        <w:tc>
          <w:tcPr>
            <w:tcW w:w="33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EB2802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</w:t>
            </w:r>
          </w:p>
        </w:tc>
        <w:tc>
          <w:tcPr>
            <w:tcW w:w="136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6AC9AD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填写案例背景和任务目标。</w:t>
            </w:r>
          </w:p>
        </w:tc>
        <w:tc>
          <w:tcPr>
            <w:tcW w:w="329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BC5288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案例背景应包含时间、地点、交通状态和问题情境。</w:t>
            </w:r>
          </w:p>
        </w:tc>
      </w:tr>
      <w:tr w14:paraId="6121D3CD">
        <w:trPr>
          <w:trHeight w:val="0" w:hRule="atLeast"/>
          <w:jc w:val="center"/>
        </w:trPr>
        <w:tc>
          <w:tcPr>
            <w:tcW w:w="33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197A1B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4</w:t>
            </w:r>
          </w:p>
        </w:tc>
        <w:tc>
          <w:tcPr>
            <w:tcW w:w="136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D61C85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设置基础数据和场景参数。</w:t>
            </w:r>
          </w:p>
        </w:tc>
        <w:tc>
          <w:tcPr>
            <w:tcW w:w="329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32C82F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包括交通量、速度、排队长度、信号周期、事故状态等。</w:t>
            </w:r>
          </w:p>
        </w:tc>
      </w:tr>
      <w:tr w14:paraId="7DB1C3C5">
        <w:trPr>
          <w:trHeight w:val="0" w:hRule="atLeast"/>
          <w:jc w:val="center"/>
        </w:trPr>
        <w:tc>
          <w:tcPr>
            <w:tcW w:w="33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6EC3BF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5</w:t>
            </w:r>
          </w:p>
        </w:tc>
        <w:tc>
          <w:tcPr>
            <w:tcW w:w="136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9391E7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设置学生分组。</w:t>
            </w:r>
          </w:p>
        </w:tc>
        <w:tc>
          <w:tcPr>
            <w:tcW w:w="329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3BE852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可设置 A 组态势感知、B 组信号优化、C 组事件管控、D 组复盘评价。</w:t>
            </w:r>
          </w:p>
        </w:tc>
      </w:tr>
      <w:tr w14:paraId="055FEEFB">
        <w:trPr>
          <w:trHeight w:val="0" w:hRule="atLeast"/>
          <w:jc w:val="center"/>
        </w:trPr>
        <w:tc>
          <w:tcPr>
            <w:tcW w:w="33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C7D029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6</w:t>
            </w:r>
          </w:p>
        </w:tc>
        <w:tc>
          <w:tcPr>
            <w:tcW w:w="136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EBCB74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确认评分标准。</w:t>
            </w:r>
          </w:p>
        </w:tc>
        <w:tc>
          <w:tcPr>
            <w:tcW w:w="329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97F80F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建议包含数据解读、数模映射、仿真决策、表达复盘四类。</w:t>
            </w:r>
          </w:p>
        </w:tc>
      </w:tr>
      <w:tr w14:paraId="3272B6D7">
        <w:trPr>
          <w:trHeight w:val="0" w:hRule="atLeast"/>
          <w:jc w:val="center"/>
        </w:trPr>
        <w:tc>
          <w:tcPr>
            <w:tcW w:w="33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6DB88E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7</w:t>
            </w:r>
          </w:p>
        </w:tc>
        <w:tc>
          <w:tcPr>
            <w:tcW w:w="136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1C11D3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点击“发布任务”。</w:t>
            </w:r>
          </w:p>
        </w:tc>
        <w:tc>
          <w:tcPr>
            <w:tcW w:w="329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0179A8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任务状态同步至学生端和驾驶舱。</w:t>
            </w:r>
          </w:p>
        </w:tc>
      </w:tr>
    </w:tbl>
    <w:p w14:paraId="2A085F22">
      <w:pPr>
        <w:rPr>
          <w:rFonts w:hint="default" w:ascii="Times New Roman Regular" w:hAnsi="Times New Roman Regular" w:eastAsia="仿宋" w:cs="Times New Roman Regular"/>
        </w:rPr>
      </w:pPr>
    </w:p>
    <w:p w14:paraId="4CC8E71A">
      <w:pPr>
        <w:pStyle w:val="4"/>
        <w:numPr>
          <w:ilvl w:val="0"/>
          <w:numId w:val="17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教师组织建议</w:t>
      </w:r>
    </w:p>
    <w:p w14:paraId="0F4AB20F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课前：教师提前发布任务，学生阅读案例背景和数据说明。</w:t>
      </w:r>
    </w:p>
    <w:p w14:paraId="437A9814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课中：学生分组完成数据读取、数模观察、方案设置和仿真提交。</w:t>
      </w:r>
    </w:p>
    <w:p w14:paraId="04BBD3BE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课后：教师使用评价复盘页面组织报告点评和问题反馈。</w:t>
      </w:r>
    </w:p>
    <w:p w14:paraId="044B7BBA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比赛展示：教师端页面建议讲解 20—30 秒，重点说明“教师如何把课程知识点转化为实训任务”。</w:t>
      </w:r>
    </w:p>
    <w:p w14:paraId="44A0E7B1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学生端实训操作说明</w:t>
      </w:r>
    </w:p>
    <w:p w14:paraId="5F9C479D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学生端是学生完成交通运行研判和控制方案设计的主要操作台。学生需要读取任务背景、查看数据与数模场景、识别问题、设置方案并提交仿真。</w:t>
      </w:r>
    </w:p>
    <w:p w14:paraId="6C2657DE">
      <w:pPr>
        <w:pStyle w:val="4"/>
        <w:numPr>
          <w:ilvl w:val="0"/>
          <w:numId w:val="18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学生端完整操作流程</w:t>
      </w:r>
    </w:p>
    <w:tbl>
      <w:tblPr>
        <w:tblStyle w:val="3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4379"/>
        <w:gridCol w:w="5119"/>
      </w:tblGrid>
      <w:tr w14:paraId="595F7FFA">
        <w:trPr>
          <w:trHeight w:val="0" w:hRule="atLeast"/>
          <w:tblHeader/>
          <w:jc w:val="center"/>
        </w:trPr>
        <w:tc>
          <w:tcPr>
            <w:tcW w:w="41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0FC7799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步骤</w:t>
            </w:r>
          </w:p>
        </w:tc>
        <w:tc>
          <w:tcPr>
            <w:tcW w:w="211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4A5B7D8E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学生操作</w:t>
            </w:r>
          </w:p>
        </w:tc>
        <w:tc>
          <w:tcPr>
            <w:tcW w:w="247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74419D0A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成果要求</w:t>
            </w:r>
          </w:p>
        </w:tc>
      </w:tr>
      <w:tr w14:paraId="1D857D65">
        <w:trPr>
          <w:trHeight w:val="0" w:hRule="atLeast"/>
          <w:jc w:val="center"/>
        </w:trPr>
        <w:tc>
          <w:tcPr>
            <w:tcW w:w="41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0ACB60D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</w:t>
            </w:r>
          </w:p>
        </w:tc>
        <w:tc>
          <w:tcPr>
            <w:tcW w:w="211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68252E6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阅读当前任务名称、课程章节、案例背景和提交要求。</w:t>
            </w:r>
          </w:p>
        </w:tc>
        <w:tc>
          <w:tcPr>
            <w:tcW w:w="247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A16F102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明确实训对象、任务目标和评分标准。</w:t>
            </w:r>
          </w:p>
        </w:tc>
      </w:tr>
      <w:tr w14:paraId="5BAE4FBA">
        <w:trPr>
          <w:trHeight w:val="0" w:hRule="atLeast"/>
          <w:jc w:val="center"/>
        </w:trPr>
        <w:tc>
          <w:tcPr>
            <w:tcW w:w="41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1CC9BC2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2</w:t>
            </w:r>
          </w:p>
        </w:tc>
        <w:tc>
          <w:tcPr>
            <w:tcW w:w="211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2DE230F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查看交通运行数据。</w:t>
            </w:r>
          </w:p>
        </w:tc>
        <w:tc>
          <w:tcPr>
            <w:tcW w:w="247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5807B0D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记录通行指数、区域交通量、平均车速、事故事件、违法风险和 ETC 超速。</w:t>
            </w:r>
          </w:p>
        </w:tc>
      </w:tr>
      <w:tr w14:paraId="6FE38239">
        <w:trPr>
          <w:trHeight w:val="0" w:hRule="atLeast"/>
          <w:jc w:val="center"/>
        </w:trPr>
        <w:tc>
          <w:tcPr>
            <w:tcW w:w="41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1D39836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</w:t>
            </w:r>
          </w:p>
        </w:tc>
        <w:tc>
          <w:tcPr>
            <w:tcW w:w="211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E5AE719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进入 GIS/3D 场景。</w:t>
            </w:r>
          </w:p>
        </w:tc>
        <w:tc>
          <w:tcPr>
            <w:tcW w:w="247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8934B7B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识别拥堵路段、事故点、影响范围和关键进口道。</w:t>
            </w:r>
          </w:p>
        </w:tc>
      </w:tr>
      <w:tr w14:paraId="1CB52023">
        <w:trPr>
          <w:trHeight w:val="0" w:hRule="atLeast"/>
          <w:jc w:val="center"/>
        </w:trPr>
        <w:tc>
          <w:tcPr>
            <w:tcW w:w="41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A205FAD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4</w:t>
            </w:r>
          </w:p>
        </w:tc>
        <w:tc>
          <w:tcPr>
            <w:tcW w:w="211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A401D54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设置信号周期、绿信比、左转相位、绕行诱导和临时管制区域。</w:t>
            </w:r>
          </w:p>
        </w:tc>
        <w:tc>
          <w:tcPr>
            <w:tcW w:w="247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21D5A2A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形成控制方案。</w:t>
            </w:r>
          </w:p>
        </w:tc>
      </w:tr>
      <w:tr w14:paraId="485C6C6F">
        <w:trPr>
          <w:trHeight w:val="0" w:hRule="atLeast"/>
          <w:jc w:val="center"/>
        </w:trPr>
        <w:tc>
          <w:tcPr>
            <w:tcW w:w="41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BB44366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5</w:t>
            </w:r>
          </w:p>
        </w:tc>
        <w:tc>
          <w:tcPr>
            <w:tcW w:w="211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DBE1BF5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点击“提交方案并仿真”。</w:t>
            </w:r>
          </w:p>
        </w:tc>
        <w:tc>
          <w:tcPr>
            <w:tcW w:w="247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2A7E393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进入仿真推演页面查看优化前后结果。</w:t>
            </w:r>
          </w:p>
        </w:tc>
      </w:tr>
      <w:tr w14:paraId="775A97A6">
        <w:trPr>
          <w:trHeight w:val="0" w:hRule="atLeast"/>
          <w:jc w:val="center"/>
        </w:trPr>
        <w:tc>
          <w:tcPr>
            <w:tcW w:w="41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62D6BD3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6</w:t>
            </w:r>
          </w:p>
        </w:tc>
        <w:tc>
          <w:tcPr>
            <w:tcW w:w="211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D9A8725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根据系统输出完成实训报告。</w:t>
            </w:r>
          </w:p>
        </w:tc>
        <w:tc>
          <w:tcPr>
            <w:tcW w:w="247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92DA2A6">
            <w:pPr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报告应包含数据依据、方案逻辑、结果解释和风险复盘。</w:t>
            </w:r>
          </w:p>
        </w:tc>
      </w:tr>
    </w:tbl>
    <w:p w14:paraId="6C158F92">
      <w:pPr>
        <w:rPr>
          <w:rFonts w:hint="default" w:ascii="Times New Roman Regular" w:hAnsi="Times New Roman Regular" w:eastAsia="仿宋" w:cs="Times New Roman Regular"/>
        </w:rPr>
      </w:pPr>
    </w:p>
    <w:p w14:paraId="72F320E7">
      <w:pPr>
        <w:pStyle w:val="4"/>
        <w:numPr>
          <w:ilvl w:val="0"/>
          <w:numId w:val="18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学生应记录的关键证据</w:t>
      </w:r>
    </w:p>
    <w:tbl>
      <w:tblPr>
        <w:tblStyle w:val="3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5854"/>
        <w:gridCol w:w="3269"/>
      </w:tblGrid>
      <w:tr w14:paraId="0D05E9CF">
        <w:trPr>
          <w:trHeight w:val="0" w:hRule="atLeast"/>
          <w:tblHeader/>
          <w:jc w:val="center"/>
        </w:trPr>
        <w:tc>
          <w:tcPr>
            <w:tcW w:w="595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5915AC0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证据类型</w:t>
            </w:r>
          </w:p>
        </w:tc>
        <w:tc>
          <w:tcPr>
            <w:tcW w:w="2826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68C8DF7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记录内容</w:t>
            </w:r>
          </w:p>
        </w:tc>
        <w:tc>
          <w:tcPr>
            <w:tcW w:w="157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1EC343C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归档用途</w:t>
            </w:r>
          </w:p>
        </w:tc>
      </w:tr>
      <w:tr w14:paraId="7C569F74">
        <w:trPr>
          <w:trHeight w:val="0" w:hRule="atLeast"/>
          <w:jc w:val="center"/>
        </w:trPr>
        <w:tc>
          <w:tcPr>
            <w:tcW w:w="595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27C022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数据证据</w:t>
            </w:r>
          </w:p>
        </w:tc>
        <w:tc>
          <w:tcPr>
            <w:tcW w:w="2826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B28FB0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通行指数、流量、速度、排队长度、事故事件、违法风险。</w:t>
            </w:r>
          </w:p>
        </w:tc>
        <w:tc>
          <w:tcPr>
            <w:tcW w:w="157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13BE88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证明方案设计基于数据。</w:t>
            </w:r>
          </w:p>
        </w:tc>
      </w:tr>
      <w:tr w14:paraId="401B3B33">
        <w:trPr>
          <w:trHeight w:val="0" w:hRule="atLeast"/>
          <w:jc w:val="center"/>
        </w:trPr>
        <w:tc>
          <w:tcPr>
            <w:tcW w:w="595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5363E8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数模证据</w:t>
            </w:r>
          </w:p>
        </w:tc>
        <w:tc>
          <w:tcPr>
            <w:tcW w:w="2826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91DD8D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GIS 路网截图、3D 交叉口截图、事件点、信号机、检测器。</w:t>
            </w:r>
          </w:p>
        </w:tc>
        <w:tc>
          <w:tcPr>
            <w:tcW w:w="157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12ED50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证明学生完成了空间场景观察。</w:t>
            </w:r>
          </w:p>
        </w:tc>
      </w:tr>
      <w:tr w14:paraId="4E62A421">
        <w:trPr>
          <w:trHeight w:val="0" w:hRule="atLeast"/>
          <w:jc w:val="center"/>
        </w:trPr>
        <w:tc>
          <w:tcPr>
            <w:tcW w:w="595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246D8F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方案证据</w:t>
            </w:r>
          </w:p>
        </w:tc>
        <w:tc>
          <w:tcPr>
            <w:tcW w:w="2826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C53016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信号周期、绿信比、绕行路线、临时管制区域。</w:t>
            </w:r>
          </w:p>
        </w:tc>
        <w:tc>
          <w:tcPr>
            <w:tcW w:w="157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9039DD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证明学生进行了控制方案设计。</w:t>
            </w:r>
          </w:p>
        </w:tc>
      </w:tr>
      <w:tr w14:paraId="47C59F1A">
        <w:trPr>
          <w:trHeight w:val="0" w:hRule="atLeast"/>
          <w:jc w:val="center"/>
        </w:trPr>
        <w:tc>
          <w:tcPr>
            <w:tcW w:w="595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533FBE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结果证据</w:t>
            </w:r>
          </w:p>
        </w:tc>
        <w:tc>
          <w:tcPr>
            <w:tcW w:w="2826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BD10D4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平均延误、排队长度、拥堵指数、通行效率、平均车速变化。</w:t>
            </w:r>
          </w:p>
        </w:tc>
        <w:tc>
          <w:tcPr>
            <w:tcW w:w="157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544401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证明方案效果可比较。</w:t>
            </w:r>
          </w:p>
        </w:tc>
      </w:tr>
      <w:tr w14:paraId="2B91F3B1">
        <w:trPr>
          <w:trHeight w:val="0" w:hRule="atLeast"/>
          <w:jc w:val="center"/>
        </w:trPr>
        <w:tc>
          <w:tcPr>
            <w:tcW w:w="595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23A6E9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复盘证据</w:t>
            </w:r>
          </w:p>
        </w:tc>
        <w:tc>
          <w:tcPr>
            <w:tcW w:w="2826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2720C0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操作时间线、系统点评、教师意见和改进建议。</w:t>
            </w:r>
          </w:p>
        </w:tc>
        <w:tc>
          <w:tcPr>
            <w:tcW w:w="157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42223B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支撑过程性评价。</w:t>
            </w:r>
          </w:p>
        </w:tc>
      </w:tr>
    </w:tbl>
    <w:p w14:paraId="14D768B5">
      <w:pPr>
        <w:rPr>
          <w:rFonts w:hint="default" w:ascii="Times New Roman Regular" w:hAnsi="Times New Roman Regular" w:eastAsia="仿宋" w:cs="Times New Roman Regular"/>
        </w:rPr>
      </w:pPr>
    </w:p>
    <w:p w14:paraId="7C536263">
      <w:pPr>
        <w:pStyle w:val="4"/>
        <w:numPr>
          <w:ilvl w:val="0"/>
          <w:numId w:val="18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学生报告撰写建议</w:t>
      </w:r>
    </w:p>
    <w:p w14:paraId="4C8A78C8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第一部分写清案例背景和问题判断，不要直接写方案。</w:t>
      </w:r>
    </w:p>
    <w:p w14:paraId="4D1E8C3F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第二部分列出数据依据，说明为什么判断该路段存在拥堵或风险。</w:t>
      </w:r>
    </w:p>
    <w:p w14:paraId="1476BDC9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第三部分写明方案参数，例如信号周期、绿信比、相位调整、绕行诱导等。</w:t>
      </w:r>
    </w:p>
    <w:p w14:paraId="521A03A4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第四部分解释仿真结果，说明优化前后指标变化。</w:t>
      </w:r>
    </w:p>
    <w:p w14:paraId="5DD00591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第五部分进行复盘，指出方案不足和进一步改进方向。</w:t>
      </w:r>
    </w:p>
    <w:p w14:paraId="36010254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仿真推演模块操作说明</w:t>
      </w:r>
    </w:p>
    <w:p w14:paraId="4AC6C7B1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仿真推演模块用于展示学生提交控制方案后的预测与优化效果。当前系统采用教学仿真样例数据，重点用于验证学生方案逻辑和指标解释能力。</w:t>
      </w:r>
    </w:p>
    <w:p w14:paraId="2E900D59">
      <w:pPr>
        <w:pStyle w:val="4"/>
        <w:numPr>
          <w:ilvl w:val="0"/>
          <w:numId w:val="19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仿真推演内容</w:t>
      </w:r>
    </w:p>
    <w:tbl>
      <w:tblPr>
        <w:tblStyle w:val="3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5989"/>
        <w:gridCol w:w="2747"/>
      </w:tblGrid>
      <w:tr w14:paraId="6E46F36D">
        <w:trPr>
          <w:trHeight w:val="0" w:hRule="atLeast"/>
          <w:tblHeader/>
          <w:jc w:val="center"/>
        </w:trPr>
        <w:tc>
          <w:tcPr>
            <w:tcW w:w="782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7556C55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内容</w:t>
            </w:r>
          </w:p>
        </w:tc>
        <w:tc>
          <w:tcPr>
            <w:tcW w:w="289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167B28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说明</w:t>
            </w:r>
          </w:p>
        </w:tc>
        <w:tc>
          <w:tcPr>
            <w:tcW w:w="1326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4307E8B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教学价值</w:t>
            </w:r>
          </w:p>
        </w:tc>
      </w:tr>
      <w:tr w14:paraId="4FA57C6D">
        <w:trPr>
          <w:trHeight w:val="0" w:hRule="atLeast"/>
          <w:jc w:val="center"/>
        </w:trPr>
        <w:tc>
          <w:tcPr>
            <w:tcW w:w="782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76BD09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学生方案参数</w:t>
            </w:r>
          </w:p>
        </w:tc>
        <w:tc>
          <w:tcPr>
            <w:tcW w:w="289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999817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信号周期、绿信比、左转相位、绕行诱导、管制范围。</w:t>
            </w:r>
          </w:p>
        </w:tc>
        <w:tc>
          <w:tcPr>
            <w:tcW w:w="1326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CB217D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检查学生方案是否完整。</w:t>
            </w:r>
          </w:p>
        </w:tc>
      </w:tr>
      <w:tr w14:paraId="1470D584">
        <w:trPr>
          <w:trHeight w:val="0" w:hRule="atLeast"/>
          <w:jc w:val="center"/>
        </w:trPr>
        <w:tc>
          <w:tcPr>
            <w:tcW w:w="782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920AE3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优化前后对比</w:t>
            </w:r>
          </w:p>
        </w:tc>
        <w:tc>
          <w:tcPr>
            <w:tcW w:w="289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50A5A9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平均延误、排队长度、拥堵指数、通行效率、平均车速。</w:t>
            </w:r>
          </w:p>
        </w:tc>
        <w:tc>
          <w:tcPr>
            <w:tcW w:w="1326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49A47A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证明方案效果可量化。</w:t>
            </w:r>
          </w:p>
        </w:tc>
      </w:tr>
      <w:tr w14:paraId="08577AB2">
        <w:trPr>
          <w:trHeight w:val="0" w:hRule="atLeast"/>
          <w:jc w:val="center"/>
        </w:trPr>
        <w:tc>
          <w:tcPr>
            <w:tcW w:w="782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E5C051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事件管控效果</w:t>
            </w:r>
          </w:p>
        </w:tc>
        <w:tc>
          <w:tcPr>
            <w:tcW w:w="289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DE4DA4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事故影响范围、预计消散时间、二次事故风险、分流比例。</w:t>
            </w:r>
          </w:p>
        </w:tc>
        <w:tc>
          <w:tcPr>
            <w:tcW w:w="1326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820470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支撑应急管控场景。</w:t>
            </w:r>
          </w:p>
        </w:tc>
      </w:tr>
      <w:tr w14:paraId="5CD986C6">
        <w:trPr>
          <w:trHeight w:val="0" w:hRule="atLeast"/>
          <w:jc w:val="center"/>
        </w:trPr>
        <w:tc>
          <w:tcPr>
            <w:tcW w:w="782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682752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系统点评</w:t>
            </w:r>
          </w:p>
        </w:tc>
        <w:tc>
          <w:tcPr>
            <w:tcW w:w="289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D92308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指出方案有效点、风险点和进一步优化建议。</w:t>
            </w:r>
          </w:p>
        </w:tc>
        <w:tc>
          <w:tcPr>
            <w:tcW w:w="1326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86FEA8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帮助学生完成复盘。</w:t>
            </w:r>
          </w:p>
        </w:tc>
      </w:tr>
    </w:tbl>
    <w:p w14:paraId="67334655">
      <w:pPr>
        <w:rPr>
          <w:rFonts w:hint="default" w:ascii="Times New Roman Regular" w:hAnsi="Times New Roman Regular" w:eastAsia="仿宋" w:cs="Times New Roman Regular"/>
        </w:rPr>
      </w:pPr>
    </w:p>
    <w:p w14:paraId="372EA411">
      <w:pPr>
        <w:pStyle w:val="4"/>
        <w:numPr>
          <w:ilvl w:val="0"/>
          <w:numId w:val="19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推荐讲解指标</w:t>
      </w:r>
    </w:p>
    <w:tbl>
      <w:tblPr>
        <w:tblStyle w:val="3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3646"/>
        <w:gridCol w:w="5223"/>
      </w:tblGrid>
      <w:tr w14:paraId="0F9B8C82">
        <w:trPr>
          <w:trHeight w:val="0" w:hRule="atLeast"/>
          <w:tblHeader/>
          <w:jc w:val="center"/>
        </w:trPr>
        <w:tc>
          <w:tcPr>
            <w:tcW w:w="71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098EE4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指标</w:t>
            </w:r>
          </w:p>
        </w:tc>
        <w:tc>
          <w:tcPr>
            <w:tcW w:w="1760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58E0381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样例变化</w:t>
            </w:r>
          </w:p>
        </w:tc>
        <w:tc>
          <w:tcPr>
            <w:tcW w:w="252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6675ABA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解释重点</w:t>
            </w:r>
          </w:p>
        </w:tc>
      </w:tr>
      <w:tr w14:paraId="2EF6EF3D">
        <w:trPr>
          <w:trHeight w:val="0" w:hRule="atLeast"/>
          <w:jc w:val="center"/>
        </w:trPr>
        <w:tc>
          <w:tcPr>
            <w:tcW w:w="71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4E1291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sz w:val="19"/>
              </w:rPr>
              <w:t>平均延误</w:t>
            </w:r>
          </w:p>
        </w:tc>
        <w:tc>
          <w:tcPr>
            <w:tcW w:w="1760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048DE7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sz w:val="19"/>
              </w:rPr>
              <w:t>64 s/veh → 46 s/veh</w:t>
            </w:r>
          </w:p>
        </w:tc>
        <w:tc>
          <w:tcPr>
            <w:tcW w:w="252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F86EED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sz w:val="19"/>
              </w:rPr>
              <w:t>判断信号优化是否降低车辆等待时间。</w:t>
            </w:r>
          </w:p>
        </w:tc>
      </w:tr>
      <w:tr w14:paraId="50117685">
        <w:trPr>
          <w:trHeight w:val="0" w:hRule="atLeast"/>
          <w:jc w:val="center"/>
        </w:trPr>
        <w:tc>
          <w:tcPr>
            <w:tcW w:w="71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17B42F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排队长度</w:t>
            </w:r>
          </w:p>
        </w:tc>
        <w:tc>
          <w:tcPr>
            <w:tcW w:w="1760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75632C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164 m → 96 m</w:t>
            </w:r>
          </w:p>
        </w:tc>
        <w:tc>
          <w:tcPr>
            <w:tcW w:w="252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374312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判断排队溢出风险是否缓解。</w:t>
            </w:r>
          </w:p>
        </w:tc>
      </w:tr>
      <w:tr w14:paraId="10A8E9DB">
        <w:trPr>
          <w:trHeight w:val="0" w:hRule="atLeast"/>
          <w:jc w:val="center"/>
        </w:trPr>
        <w:tc>
          <w:tcPr>
            <w:tcW w:w="71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66D758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拥堵指数</w:t>
            </w:r>
          </w:p>
        </w:tc>
        <w:tc>
          <w:tcPr>
            <w:tcW w:w="1760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D507C5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0.86 → 0.62</w:t>
            </w:r>
          </w:p>
        </w:tc>
        <w:tc>
          <w:tcPr>
            <w:tcW w:w="252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7C4981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判断运行状态是否由拥堵趋向缓行。</w:t>
            </w:r>
          </w:p>
        </w:tc>
      </w:tr>
      <w:tr w14:paraId="525C6421">
        <w:trPr>
          <w:trHeight w:val="0" w:hRule="atLeast"/>
          <w:jc w:val="center"/>
        </w:trPr>
        <w:tc>
          <w:tcPr>
            <w:tcW w:w="71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6B3B77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通行效率</w:t>
            </w:r>
          </w:p>
        </w:tc>
        <w:tc>
          <w:tcPr>
            <w:tcW w:w="1760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E41F8E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61% → 74%</w:t>
            </w:r>
          </w:p>
        </w:tc>
        <w:tc>
          <w:tcPr>
            <w:tcW w:w="252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93378C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判断道路通行能力是否提升。</w:t>
            </w:r>
          </w:p>
        </w:tc>
      </w:tr>
      <w:tr w14:paraId="2B53EF8C">
        <w:trPr>
          <w:trHeight w:val="0" w:hRule="atLeast"/>
          <w:jc w:val="center"/>
        </w:trPr>
        <w:tc>
          <w:tcPr>
            <w:tcW w:w="718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55FA26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sz w:val="19"/>
              </w:rPr>
              <w:t>平均车速</w:t>
            </w:r>
          </w:p>
        </w:tc>
        <w:tc>
          <w:tcPr>
            <w:tcW w:w="1760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F1E0F5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sz w:val="19"/>
              </w:rPr>
              <w:t>31.8 km/h → 39.6 km/h</w:t>
            </w:r>
          </w:p>
        </w:tc>
        <w:tc>
          <w:tcPr>
            <w:tcW w:w="2521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9A1866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sz w:val="19"/>
              </w:rPr>
              <w:t>判断区域运行效率改善情况。</w:t>
            </w:r>
          </w:p>
        </w:tc>
      </w:tr>
    </w:tbl>
    <w:p w14:paraId="631CCA11">
      <w:pPr>
        <w:rPr>
          <w:rFonts w:hint="default" w:ascii="Times New Roman Regular" w:hAnsi="Times New Roman Regular" w:eastAsia="仿宋" w:cs="Times New Roman Regular"/>
        </w:rPr>
      </w:pPr>
    </w:p>
    <w:p w14:paraId="5AECF5C2">
      <w:pPr>
        <w:pStyle w:val="4"/>
        <w:numPr>
          <w:ilvl w:val="0"/>
          <w:numId w:val="19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操作步骤</w:t>
      </w:r>
    </w:p>
    <w:tbl>
      <w:tblPr>
        <w:tblStyle w:val="3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4546"/>
        <w:gridCol w:w="5132"/>
      </w:tblGrid>
      <w:tr w14:paraId="3DDCF21C">
        <w:trPr>
          <w:trHeight w:val="0" w:hRule="atLeast"/>
          <w:tblHeader/>
          <w:jc w:val="center"/>
        </w:trPr>
        <w:tc>
          <w:tcPr>
            <w:tcW w:w="32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528A0D8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步骤</w:t>
            </w:r>
          </w:p>
        </w:tc>
        <w:tc>
          <w:tcPr>
            <w:tcW w:w="219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7B28F3C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操作</w:t>
            </w:r>
          </w:p>
        </w:tc>
        <w:tc>
          <w:tcPr>
            <w:tcW w:w="247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63315B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观察内容</w:t>
            </w:r>
          </w:p>
        </w:tc>
      </w:tr>
      <w:tr w14:paraId="65EDE093">
        <w:trPr>
          <w:trHeight w:val="0" w:hRule="atLeast"/>
          <w:jc w:val="center"/>
        </w:trPr>
        <w:tc>
          <w:tcPr>
            <w:tcW w:w="32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57B05C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</w:t>
            </w:r>
          </w:p>
        </w:tc>
        <w:tc>
          <w:tcPr>
            <w:tcW w:w="219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03AFD9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从学生端或 3D 数模页点击“启动仿真推演”。</w:t>
            </w:r>
          </w:p>
        </w:tc>
        <w:tc>
          <w:tcPr>
            <w:tcW w:w="247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FD16B0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系统进入方案结果页面。</w:t>
            </w:r>
          </w:p>
        </w:tc>
      </w:tr>
      <w:tr w14:paraId="08F3C9ED">
        <w:trPr>
          <w:trHeight w:val="0" w:hRule="atLeast"/>
          <w:jc w:val="center"/>
        </w:trPr>
        <w:tc>
          <w:tcPr>
            <w:tcW w:w="32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717DCE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2</w:t>
            </w:r>
          </w:p>
        </w:tc>
        <w:tc>
          <w:tcPr>
            <w:tcW w:w="219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821448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查看学生方案参数。</w:t>
            </w:r>
          </w:p>
        </w:tc>
        <w:tc>
          <w:tcPr>
            <w:tcW w:w="247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7A7C48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确认信号周期、绿信比、相位和管制范围。</w:t>
            </w:r>
          </w:p>
        </w:tc>
      </w:tr>
      <w:tr w14:paraId="43145E23">
        <w:trPr>
          <w:trHeight w:val="0" w:hRule="atLeast"/>
          <w:jc w:val="center"/>
        </w:trPr>
        <w:tc>
          <w:tcPr>
            <w:tcW w:w="32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803519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</w:t>
            </w:r>
          </w:p>
        </w:tc>
        <w:tc>
          <w:tcPr>
            <w:tcW w:w="219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78A05D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对比优化前后指标。</w:t>
            </w:r>
          </w:p>
        </w:tc>
        <w:tc>
          <w:tcPr>
            <w:tcW w:w="247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D205E8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重点关注平均延误、排队长度、拥堵指数和通行效率。</w:t>
            </w:r>
          </w:p>
        </w:tc>
      </w:tr>
      <w:tr w14:paraId="44188404">
        <w:trPr>
          <w:trHeight w:val="0" w:hRule="atLeast"/>
          <w:jc w:val="center"/>
        </w:trPr>
        <w:tc>
          <w:tcPr>
            <w:tcW w:w="32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907ADA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4</w:t>
            </w:r>
          </w:p>
        </w:tc>
        <w:tc>
          <w:tcPr>
            <w:tcW w:w="219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B53FDF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阅读系统点评。</w:t>
            </w:r>
          </w:p>
        </w:tc>
        <w:tc>
          <w:tcPr>
            <w:tcW w:w="247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E0257E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理解方案有效原因和潜在风险。</w:t>
            </w:r>
          </w:p>
        </w:tc>
      </w:tr>
      <w:tr w14:paraId="4F0F2E5B">
        <w:trPr>
          <w:trHeight w:val="0" w:hRule="atLeast"/>
          <w:jc w:val="center"/>
        </w:trPr>
        <w:tc>
          <w:tcPr>
            <w:tcW w:w="32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6DA706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5</w:t>
            </w:r>
          </w:p>
        </w:tc>
        <w:tc>
          <w:tcPr>
            <w:tcW w:w="2194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D8635A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点击“生成评价复盘”。</w:t>
            </w:r>
          </w:p>
        </w:tc>
        <w:tc>
          <w:tcPr>
            <w:tcW w:w="2477" w:type="pct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330743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进入评价复盘页面，形成学习证据。</w:t>
            </w:r>
          </w:p>
        </w:tc>
      </w:tr>
    </w:tbl>
    <w:p w14:paraId="335F38E0">
      <w:pPr>
        <w:rPr>
          <w:rFonts w:hint="default" w:ascii="Times New Roman Regular" w:hAnsi="Times New Roman Regular" w:eastAsia="仿宋" w:cs="Times New Roman Regular"/>
        </w:rPr>
      </w:pPr>
    </w:p>
    <w:tbl>
      <w:tblPr>
        <w:tblStyle w:val="3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8"/>
      </w:tblGrid>
      <w:tr w14:paraId="18C7BC35">
        <w:trPr>
          <w:jc w:val="center"/>
        </w:trPr>
        <w:tc>
          <w:tcPr>
            <w:tcW w:w="5000" w:type="pct"/>
            <w:tcBorders>
              <w:top w:val="single" w:color="8BB7E8" w:sz="8" w:space="0"/>
              <w:left w:val="single" w:color="8BB7E8" w:sz="8" w:space="0"/>
              <w:bottom w:val="single" w:color="8BB7E8" w:sz="8" w:space="0"/>
              <w:right w:val="single" w:color="8BB7E8" w:sz="8" w:space="0"/>
            </w:tcBorders>
            <w:shd w:val="clear" w:color="auto" w:fill="EAF3FF"/>
          </w:tcPr>
          <w:p w14:paraId="6DE0C246">
            <w:pPr>
              <w:spacing w:after="60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1F4E79"/>
                <w:sz w:val="21"/>
              </w:rPr>
              <w:t>展示提示</w:t>
            </w:r>
          </w:p>
          <w:p w14:paraId="2D84B3C0">
            <w:pPr>
              <w:spacing w:line="288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仿真推演页必须讲“指标变化”，不要只展示页面。建议讲清楚“优化前是什么状态、学生采取什么策略、优化后哪些指标改善、还有什么风险”。</w:t>
            </w:r>
          </w:p>
        </w:tc>
      </w:tr>
    </w:tbl>
    <w:p w14:paraId="6CAF2DA9">
      <w:pPr>
        <w:rPr>
          <w:rFonts w:hint="default" w:ascii="Times New Roman Regular" w:hAnsi="Times New Roman Regular" w:eastAsia="仿宋" w:cs="Times New Roman Regular"/>
        </w:rPr>
      </w:pPr>
    </w:p>
    <w:p w14:paraId="19B437F6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评价复盘模块操作说明</w:t>
      </w:r>
    </w:p>
    <w:p w14:paraId="7F43BFA5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评价复盘模块用于将学生操作过程、方案效果和报告质量转化为可评价的学习证据。该页面是系统体现教学创新应用的重要模块。</w:t>
      </w:r>
    </w:p>
    <w:p w14:paraId="59C8A403">
      <w:pPr>
        <w:pStyle w:val="4"/>
        <w:numPr>
          <w:ilvl w:val="0"/>
          <w:numId w:val="20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评价内容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6992"/>
        <w:gridCol w:w="1964"/>
      </w:tblGrid>
      <w:tr w14:paraId="0C203160">
        <w:trPr>
          <w:trHeight w:val="0" w:hRule="atLeast"/>
          <w:tblHeader/>
          <w:jc w:val="center"/>
        </w:trPr>
        <w:tc>
          <w:tcPr>
            <w:tcW w:w="140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EA0E6E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评价项目</w:t>
            </w:r>
          </w:p>
        </w:tc>
        <w:tc>
          <w:tcPr>
            <w:tcW w:w="699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02EEB93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说明</w:t>
            </w:r>
          </w:p>
        </w:tc>
        <w:tc>
          <w:tcPr>
            <w:tcW w:w="196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02CBC00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教学用途</w:t>
            </w:r>
          </w:p>
        </w:tc>
      </w:tr>
      <w:tr w14:paraId="03A55A3C">
        <w:trPr>
          <w:trHeight w:val="0" w:hRule="atLeast"/>
          <w:jc w:val="center"/>
        </w:trPr>
        <w:tc>
          <w:tcPr>
            <w:tcW w:w="140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BB603F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综合得分</w:t>
            </w:r>
          </w:p>
        </w:tc>
        <w:tc>
          <w:tcPr>
            <w:tcW w:w="699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01EF22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展示学生或小组最终得分与等级。</w:t>
            </w:r>
          </w:p>
        </w:tc>
        <w:tc>
          <w:tcPr>
            <w:tcW w:w="196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D53758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用于结果性评价。</w:t>
            </w:r>
          </w:p>
        </w:tc>
      </w:tr>
      <w:tr w14:paraId="0DFE8190">
        <w:trPr>
          <w:trHeight w:val="0" w:hRule="atLeast"/>
          <w:jc w:val="center"/>
        </w:trPr>
        <w:tc>
          <w:tcPr>
            <w:tcW w:w="140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2F845B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能力雷达</w:t>
            </w:r>
          </w:p>
        </w:tc>
        <w:tc>
          <w:tcPr>
            <w:tcW w:w="699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7041F4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展示问题识别、数据分析、方案设计、仿真改善、应急处置、复盘报告六维能力。</w:t>
            </w:r>
          </w:p>
        </w:tc>
        <w:tc>
          <w:tcPr>
            <w:tcW w:w="196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64CE6A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用于能力画像。</w:t>
            </w:r>
          </w:p>
        </w:tc>
      </w:tr>
      <w:tr w14:paraId="7956B391">
        <w:trPr>
          <w:trHeight w:val="0" w:hRule="atLeast"/>
          <w:jc w:val="center"/>
        </w:trPr>
        <w:tc>
          <w:tcPr>
            <w:tcW w:w="140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13725D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指标改善率</w:t>
            </w:r>
          </w:p>
        </w:tc>
        <w:tc>
          <w:tcPr>
            <w:tcW w:w="699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716C6A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展示平均延误、排队长度、拥堵指数、通行效率等改善幅度。</w:t>
            </w:r>
          </w:p>
        </w:tc>
        <w:tc>
          <w:tcPr>
            <w:tcW w:w="196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874FA0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用于衡量方案效果。</w:t>
            </w:r>
          </w:p>
        </w:tc>
      </w:tr>
      <w:tr w14:paraId="36E8E29E">
        <w:trPr>
          <w:trHeight w:val="0" w:hRule="atLeast"/>
          <w:jc w:val="center"/>
        </w:trPr>
        <w:tc>
          <w:tcPr>
            <w:tcW w:w="140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45B96B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操作时间线</w:t>
            </w:r>
          </w:p>
        </w:tc>
        <w:tc>
          <w:tcPr>
            <w:tcW w:w="699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D63852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记录学生查看数据、识别问题、设置方案、提交仿真和生成报告的过程。</w:t>
            </w:r>
          </w:p>
        </w:tc>
        <w:tc>
          <w:tcPr>
            <w:tcW w:w="196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191371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用于过程性评价。</w:t>
            </w:r>
          </w:p>
        </w:tc>
      </w:tr>
      <w:tr w14:paraId="14BC0185">
        <w:trPr>
          <w:trHeight w:val="0" w:hRule="atLeast"/>
          <w:jc w:val="center"/>
        </w:trPr>
        <w:tc>
          <w:tcPr>
            <w:tcW w:w="140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15B702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教师点评</w:t>
            </w:r>
          </w:p>
        </w:tc>
        <w:tc>
          <w:tcPr>
            <w:tcW w:w="699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D06DC4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给出优点、不足和改进建议。</w:t>
            </w:r>
          </w:p>
        </w:tc>
        <w:tc>
          <w:tcPr>
            <w:tcW w:w="196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484E2C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用于课堂复盘。</w:t>
            </w:r>
          </w:p>
        </w:tc>
      </w:tr>
      <w:tr w14:paraId="74B930EE">
        <w:trPr>
          <w:trHeight w:val="0" w:hRule="atLeast"/>
          <w:jc w:val="center"/>
        </w:trPr>
        <w:tc>
          <w:tcPr>
            <w:tcW w:w="140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9E6FDF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报告导出</w:t>
            </w:r>
          </w:p>
        </w:tc>
        <w:tc>
          <w:tcPr>
            <w:tcW w:w="699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87ED6C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生成可用于课程归档和比赛支撑的实训报告。</w:t>
            </w:r>
          </w:p>
        </w:tc>
        <w:tc>
          <w:tcPr>
            <w:tcW w:w="196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1C40E6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用于成果沉淀。</w:t>
            </w:r>
          </w:p>
        </w:tc>
      </w:tr>
    </w:tbl>
    <w:p w14:paraId="45CDEA0A">
      <w:pPr>
        <w:rPr>
          <w:rFonts w:hint="default" w:ascii="Times New Roman Regular" w:hAnsi="Times New Roman Regular" w:eastAsia="仿宋" w:cs="Times New Roman Regular"/>
        </w:rPr>
      </w:pPr>
    </w:p>
    <w:p w14:paraId="786F7050">
      <w:pPr>
        <w:pStyle w:val="4"/>
        <w:numPr>
          <w:ilvl w:val="0"/>
          <w:numId w:val="20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教师评分建议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885"/>
        <w:gridCol w:w="8096"/>
      </w:tblGrid>
      <w:tr w14:paraId="6648EA70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4025712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维度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750D6BD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权重</w:t>
            </w:r>
          </w:p>
        </w:tc>
        <w:tc>
          <w:tcPr>
            <w:tcW w:w="809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5CEC260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评价标准</w:t>
            </w:r>
          </w:p>
        </w:tc>
      </w:tr>
      <w:tr w14:paraId="70271AD7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D7546F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数据解读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8A2D7C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25%</w:t>
            </w:r>
          </w:p>
        </w:tc>
        <w:tc>
          <w:tcPr>
            <w:tcW w:w="809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3A26EBF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能正确读取流量、速度、排队、事件等指标并说明数据来源。</w:t>
            </w:r>
          </w:p>
        </w:tc>
      </w:tr>
      <w:tr w14:paraId="696A629F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914D6E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数模映射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8BDB8C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20%</w:t>
            </w:r>
          </w:p>
        </w:tc>
        <w:tc>
          <w:tcPr>
            <w:tcW w:w="809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C9E667B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能把数据变化对应到 GIS 路网、3D 对象、信号状态和事件标记。</w:t>
            </w:r>
          </w:p>
        </w:tc>
      </w:tr>
      <w:tr w14:paraId="7BF5BC24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878B4A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仿真决策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C3D650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30%</w:t>
            </w:r>
          </w:p>
        </w:tc>
        <w:tc>
          <w:tcPr>
            <w:tcW w:w="809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52C1880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能提出控制方案并比较推演前后指标，说明策略取舍。</w:t>
            </w:r>
          </w:p>
        </w:tc>
      </w:tr>
      <w:tr w14:paraId="782D0A60">
        <w:trPr>
          <w:trHeight w:val="0" w:hRule="atLeast"/>
          <w:jc w:val="center"/>
        </w:trPr>
        <w:tc>
          <w:tcPr>
            <w:tcW w:w="137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30F195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表达复盘</w:t>
            </w:r>
          </w:p>
        </w:tc>
        <w:tc>
          <w:tcPr>
            <w:tcW w:w="88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E53A1F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25%</w:t>
            </w:r>
          </w:p>
        </w:tc>
        <w:tc>
          <w:tcPr>
            <w:tcW w:w="809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FD159CF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报告结构清楚，能反思方案风险并形成学习评价证据。</w:t>
            </w:r>
          </w:p>
        </w:tc>
      </w:tr>
    </w:tbl>
    <w:p w14:paraId="1D7B2CDD">
      <w:pPr>
        <w:rPr>
          <w:rFonts w:hint="default" w:ascii="Times New Roman Regular" w:hAnsi="Times New Roman Regular" w:eastAsia="仿宋" w:cs="Times New Roman Regular"/>
        </w:rPr>
      </w:pPr>
    </w:p>
    <w:p w14:paraId="61F765ED">
      <w:pPr>
        <w:pStyle w:val="4"/>
        <w:numPr>
          <w:ilvl w:val="0"/>
          <w:numId w:val="20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复盘组织方式</w:t>
      </w:r>
    </w:p>
    <w:p w14:paraId="2D9D0833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先让学生小组说明问题识别依据。</w:t>
      </w:r>
    </w:p>
    <w:p w14:paraId="5205DC20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再让学生展示方案参数和仿真结果。</w:t>
      </w:r>
    </w:p>
    <w:p w14:paraId="3E28E728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教师结合能力雷达图指出优势和不足。</w:t>
      </w:r>
    </w:p>
    <w:p w14:paraId="3B53D3C5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最后要求学生依据点评修改实训报告。</w:t>
      </w:r>
    </w:p>
    <w:p w14:paraId="208981CA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课堂结束后将报告、截图、评分结果归档至课程资料包。</w:t>
      </w:r>
    </w:p>
    <w:p w14:paraId="3829FEB8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教学成果中心操作说明</w:t>
      </w:r>
    </w:p>
    <w:p w14:paraId="2D40F3D6">
      <w:pPr>
        <w:jc w:val="center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drawing>
          <wp:inline distT="0" distB="0" distL="114300" distR="114300">
            <wp:extent cx="5760720" cy="3409315"/>
            <wp:effectExtent l="0" t="0" r="5080" b="196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71992">
      <w:pPr>
        <w:pStyle w:val="166"/>
        <w:widowControl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图 14-1  教学成果中心：平台成果、数据成果、模型成果与教学演示入口</w:t>
      </w:r>
    </w:p>
    <w:p w14:paraId="7E612F5B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教学成果中心用于汇聚平台成果、数据成果、模型成果、场景成果、评价成果和应用成果，是系统展示教学资源沉淀和后续推广价值的页面。</w:t>
      </w:r>
    </w:p>
    <w:p w14:paraId="08141FB8">
      <w:pPr>
        <w:pStyle w:val="4"/>
        <w:numPr>
          <w:ilvl w:val="0"/>
          <w:numId w:val="21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六类成果说明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5637"/>
        <w:gridCol w:w="3473"/>
      </w:tblGrid>
      <w:tr w14:paraId="4E5BACE1">
        <w:trPr>
          <w:trHeight w:val="0" w:hRule="atLeast"/>
          <w:tblHeader/>
          <w:jc w:val="center"/>
        </w:trPr>
        <w:tc>
          <w:tcPr>
            <w:tcW w:w="124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3663F4B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成果类型</w:t>
            </w:r>
          </w:p>
        </w:tc>
        <w:tc>
          <w:tcPr>
            <w:tcW w:w="563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7FD5495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说明</w:t>
            </w:r>
          </w:p>
        </w:tc>
        <w:tc>
          <w:tcPr>
            <w:tcW w:w="347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C1609E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可提交材料</w:t>
            </w:r>
          </w:p>
        </w:tc>
      </w:tr>
      <w:tr w14:paraId="770CC0F0">
        <w:trPr>
          <w:trHeight w:val="0" w:hRule="atLeast"/>
          <w:jc w:val="center"/>
        </w:trPr>
        <w:tc>
          <w:tcPr>
            <w:tcW w:w="124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398FCD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平台成果</w:t>
            </w:r>
          </w:p>
        </w:tc>
        <w:tc>
          <w:tcPr>
            <w:tcW w:w="563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EF85E5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可运行、可演示、可复用的智慧交通数字孪生教学平台。</w:t>
            </w:r>
          </w:p>
        </w:tc>
        <w:tc>
          <w:tcPr>
            <w:tcW w:w="347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4EDBD7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系统链接、离线包、操作手册。</w:t>
            </w:r>
          </w:p>
        </w:tc>
      </w:tr>
      <w:tr w14:paraId="3E410891">
        <w:trPr>
          <w:trHeight w:val="0" w:hRule="atLeast"/>
          <w:jc w:val="center"/>
        </w:trPr>
        <w:tc>
          <w:tcPr>
            <w:tcW w:w="124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813FDF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数据成果</w:t>
            </w:r>
          </w:p>
        </w:tc>
        <w:tc>
          <w:tcPr>
            <w:tcW w:w="563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DBF508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交通运行、事故、违法、ETC 超速、信号控制等教学样例数据。</w:t>
            </w:r>
          </w:p>
        </w:tc>
        <w:tc>
          <w:tcPr>
            <w:tcW w:w="347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FD3241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数据说明、指标表、样例数据截图。</w:t>
            </w:r>
          </w:p>
        </w:tc>
      </w:tr>
      <w:tr w14:paraId="34CFC041">
        <w:trPr>
          <w:trHeight w:val="0" w:hRule="atLeast"/>
          <w:jc w:val="center"/>
        </w:trPr>
        <w:tc>
          <w:tcPr>
            <w:tcW w:w="124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F75601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模型成果</w:t>
            </w:r>
          </w:p>
        </w:tc>
        <w:tc>
          <w:tcPr>
            <w:tcW w:w="563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BC8F85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GIS 路网、局部 3D 交叉口、信号机、检测器、事件对象模型。</w:t>
            </w:r>
          </w:p>
        </w:tc>
        <w:tc>
          <w:tcPr>
            <w:tcW w:w="347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92A227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3D 数模说明、模型截图、演示视频。</w:t>
            </w:r>
          </w:p>
        </w:tc>
      </w:tr>
      <w:tr w14:paraId="5BF0586B">
        <w:trPr>
          <w:trHeight w:val="0" w:hRule="atLeast"/>
          <w:jc w:val="center"/>
        </w:trPr>
        <w:tc>
          <w:tcPr>
            <w:tcW w:w="124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98C0C9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场景成果</w:t>
            </w:r>
          </w:p>
        </w:tc>
        <w:tc>
          <w:tcPr>
            <w:tcW w:w="563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5104E5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路网态势感知、信号优化、事件管控、重点区域治理四类实训场景。</w:t>
            </w:r>
          </w:p>
        </w:tc>
        <w:tc>
          <w:tcPr>
            <w:tcW w:w="347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59197C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实训任务书、案例说明、操作流程图。</w:t>
            </w:r>
          </w:p>
        </w:tc>
      </w:tr>
      <w:tr w14:paraId="36DBB653">
        <w:trPr>
          <w:trHeight w:val="0" w:hRule="atLeast"/>
          <w:jc w:val="center"/>
        </w:trPr>
        <w:tc>
          <w:tcPr>
            <w:tcW w:w="124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4EF239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评价成果</w:t>
            </w:r>
          </w:p>
        </w:tc>
        <w:tc>
          <w:tcPr>
            <w:tcW w:w="563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799880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学生能力评价、操作记录、复盘报告和教师点评体系。</w:t>
            </w:r>
          </w:p>
        </w:tc>
        <w:tc>
          <w:tcPr>
            <w:tcW w:w="347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979611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评价指标体系、评分表、实训报告包。</w:t>
            </w:r>
          </w:p>
        </w:tc>
      </w:tr>
      <w:tr w14:paraId="03F6B1AC">
        <w:trPr>
          <w:trHeight w:val="0" w:hRule="atLeast"/>
          <w:jc w:val="center"/>
        </w:trPr>
        <w:tc>
          <w:tcPr>
            <w:tcW w:w="124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985347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应用成果</w:t>
            </w:r>
          </w:p>
        </w:tc>
        <w:tc>
          <w:tcPr>
            <w:tcW w:w="563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F66C46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课程教学设计、实训任务书、操作手册、应用报告、PPT、演示视频。</w:t>
            </w:r>
          </w:p>
        </w:tc>
        <w:tc>
          <w:tcPr>
            <w:tcW w:w="347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5E5DC9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项目报告、PPT、视频、教学应用报告。</w:t>
            </w:r>
          </w:p>
        </w:tc>
      </w:tr>
    </w:tbl>
    <w:p w14:paraId="02329D30">
      <w:pPr>
        <w:rPr>
          <w:rFonts w:hint="default" w:ascii="Times New Roman Regular" w:hAnsi="Times New Roman Regular" w:eastAsia="仿宋" w:cs="Times New Roman Regular"/>
        </w:rPr>
      </w:pPr>
    </w:p>
    <w:p w14:paraId="17130861">
      <w:pPr>
        <w:pStyle w:val="4"/>
        <w:numPr>
          <w:ilvl w:val="0"/>
          <w:numId w:val="21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操作步骤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6221"/>
        <w:gridCol w:w="3364"/>
      </w:tblGrid>
      <w:tr w14:paraId="4A002D93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444F0DB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步骤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16A91E2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操作</w:t>
            </w:r>
          </w:p>
        </w:tc>
        <w:tc>
          <w:tcPr>
            <w:tcW w:w="336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3DB298B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说明</w:t>
            </w:r>
          </w:p>
        </w:tc>
      </w:tr>
      <w:tr w14:paraId="4D6D70DA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2E477E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E0AB26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进入“教学成果中心”页面。</w:t>
            </w:r>
          </w:p>
        </w:tc>
        <w:tc>
          <w:tcPr>
            <w:tcW w:w="336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2C3AB4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查看六类成果卡片。</w:t>
            </w:r>
          </w:p>
        </w:tc>
      </w:tr>
      <w:tr w14:paraId="3B1F9BBF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6DD561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2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0E3EA8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点击关联页面标签。</w:t>
            </w:r>
          </w:p>
        </w:tc>
        <w:tc>
          <w:tcPr>
            <w:tcW w:w="336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F16DF4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回到对应系统模块进行展示。</w:t>
            </w:r>
          </w:p>
        </w:tc>
      </w:tr>
      <w:tr w14:paraId="4ADF790D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31BA8D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937A87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点击“开始教学演示”。</w:t>
            </w:r>
          </w:p>
        </w:tc>
        <w:tc>
          <w:tcPr>
            <w:tcW w:w="336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CC6600E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按标准流程完成系统讲解。</w:t>
            </w:r>
          </w:p>
        </w:tc>
      </w:tr>
      <w:tr w14:paraId="397AE463">
        <w:trPr>
          <w:trHeight w:val="0" w:hRule="atLeast"/>
          <w:jc w:val="center"/>
        </w:trPr>
        <w:tc>
          <w:tcPr>
            <w:tcW w:w="77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E45912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4</w:t>
            </w:r>
          </w:p>
        </w:tc>
        <w:tc>
          <w:tcPr>
            <w:tcW w:w="622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BA2ECD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结合项目报告、操作手册、实训报告包和评价指标体系。</w:t>
            </w:r>
          </w:p>
        </w:tc>
        <w:tc>
          <w:tcPr>
            <w:tcW w:w="336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8C3A90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形成完整比赛支撑材料。</w:t>
            </w:r>
          </w:p>
        </w:tc>
      </w:tr>
    </w:tbl>
    <w:p w14:paraId="62FBB94C">
      <w:pPr>
        <w:rPr>
          <w:rFonts w:hint="default" w:ascii="Times New Roman Regular" w:hAnsi="Times New Roman Regular" w:eastAsia="仿宋" w:cs="Times New Roman Regular"/>
        </w:rPr>
      </w:pPr>
    </w:p>
    <w:p w14:paraId="4D274292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典型课程实训组织方案</w:t>
      </w:r>
    </w:p>
    <w:p w14:paraId="4C57E5BB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为了使系统真正服务高校教学，建议教师根据课时条件选择不同组织方式。以下方案可直接用于《智能交通系统》课程实训，也可用于课程改革项目或教学比赛材料。</w:t>
      </w:r>
    </w:p>
    <w:p w14:paraId="4CAE3687">
      <w:pPr>
        <w:pStyle w:val="4"/>
        <w:numPr>
          <w:ilvl w:val="0"/>
          <w:numId w:val="22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90分钟课堂实训方案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1647"/>
        <w:gridCol w:w="7128"/>
      </w:tblGrid>
      <w:tr w14:paraId="1735E8F3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1589609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环节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3B4149D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建议时间</w:t>
            </w:r>
          </w:p>
        </w:tc>
        <w:tc>
          <w:tcPr>
            <w:tcW w:w="7128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02D2651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操作内容</w:t>
            </w:r>
          </w:p>
        </w:tc>
      </w:tr>
      <w:tr w14:paraId="0A29FB96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1B258D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课前准备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45EE32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课前完成</w:t>
            </w:r>
          </w:p>
        </w:tc>
        <w:tc>
          <w:tcPr>
            <w:tcW w:w="7128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0B57D0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教师发布任务，学生阅读案例背景和数据说明。</w:t>
            </w:r>
          </w:p>
        </w:tc>
      </w:tr>
      <w:tr w14:paraId="0B1FD810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89E7D3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课堂导入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D96C0B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10分钟</w:t>
            </w:r>
          </w:p>
        </w:tc>
        <w:tc>
          <w:tcPr>
            <w:tcW w:w="7128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B1FD2D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通过作品导览和驾驶舱说明实训目标。</w:t>
            </w:r>
          </w:p>
        </w:tc>
      </w:tr>
      <w:tr w14:paraId="35E97E82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8E2AF0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数据读取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8EBEDA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15分钟</w:t>
            </w:r>
          </w:p>
        </w:tc>
        <w:tc>
          <w:tcPr>
            <w:tcW w:w="7128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D5BC1E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学生在数据感知页面读取关键指标。</w:t>
            </w:r>
          </w:p>
        </w:tc>
      </w:tr>
      <w:tr w14:paraId="269C2D7B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3B2DB7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数模观察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E4740E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15分钟</w:t>
            </w:r>
          </w:p>
        </w:tc>
        <w:tc>
          <w:tcPr>
            <w:tcW w:w="7128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3027B6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学生在 3D 数模页面识别拥堵、事件和信号对象。</w:t>
            </w:r>
          </w:p>
        </w:tc>
      </w:tr>
      <w:tr w14:paraId="08997A6E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AD04BD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方案设计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ED7ED6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20分钟</w:t>
            </w:r>
          </w:p>
        </w:tc>
        <w:tc>
          <w:tcPr>
            <w:tcW w:w="7128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122FEB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学生端设置控制参数并提交仿真。</w:t>
            </w:r>
          </w:p>
        </w:tc>
      </w:tr>
      <w:tr w14:paraId="2013E7A1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E4EAC2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结果汇报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A5D052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15分钟</w:t>
            </w:r>
          </w:p>
        </w:tc>
        <w:tc>
          <w:tcPr>
            <w:tcW w:w="7128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9D8248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各组解释优化前后指标变化。</w:t>
            </w:r>
          </w:p>
        </w:tc>
      </w:tr>
      <w:tr w14:paraId="0090DCFE">
        <w:trPr>
          <w:trHeight w:val="0" w:hRule="atLeast"/>
          <w:jc w:val="center"/>
        </w:trPr>
        <w:tc>
          <w:tcPr>
            <w:tcW w:w="158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128EC1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评价复盘</w:t>
            </w:r>
          </w:p>
        </w:tc>
        <w:tc>
          <w:tcPr>
            <w:tcW w:w="164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A1AD3A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15分钟</w:t>
            </w:r>
          </w:p>
        </w:tc>
        <w:tc>
          <w:tcPr>
            <w:tcW w:w="7128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D4B960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教师使用评价复盘页面组织点评。</w:t>
            </w:r>
          </w:p>
        </w:tc>
      </w:tr>
    </w:tbl>
    <w:p w14:paraId="48A91C90">
      <w:pPr>
        <w:rPr>
          <w:rFonts w:hint="default" w:ascii="Times New Roman Regular" w:hAnsi="Times New Roman Regular" w:eastAsia="仿宋" w:cs="Times New Roman Regular"/>
        </w:rPr>
      </w:pPr>
    </w:p>
    <w:p w14:paraId="189F6F01">
      <w:pPr>
        <w:pStyle w:val="4"/>
        <w:numPr>
          <w:ilvl w:val="0"/>
          <w:numId w:val="22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2—4课时综合实训方案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2"/>
        <w:gridCol w:w="4593"/>
        <w:gridCol w:w="3451"/>
      </w:tblGrid>
      <w:tr w14:paraId="7F1AE426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447D62F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阶段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67C814F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内容</w:t>
            </w:r>
          </w:p>
        </w:tc>
        <w:tc>
          <w:tcPr>
            <w:tcW w:w="345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0819E99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成果</w:t>
            </w:r>
          </w:p>
        </w:tc>
      </w:tr>
      <w:tr w14:paraId="75ECE895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D73D3B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第一阶段：任务导入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04373B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教师讲解案例背景，学生分组领取任务。</w:t>
            </w:r>
          </w:p>
        </w:tc>
        <w:tc>
          <w:tcPr>
            <w:tcW w:w="345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8C046E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任务书、分组表。</w:t>
            </w:r>
          </w:p>
        </w:tc>
      </w:tr>
      <w:tr w14:paraId="0D19089E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218E24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第二阶段：数据分析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351258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学生读取流量、速度、事故、违法等数据。</w:t>
            </w:r>
          </w:p>
        </w:tc>
        <w:tc>
          <w:tcPr>
            <w:tcW w:w="345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27351B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数据读取表、态势判断表。</w:t>
            </w:r>
          </w:p>
        </w:tc>
      </w:tr>
      <w:tr w14:paraId="3A245539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0219C3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第三阶段：数模验证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60B62A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学生进入 3D 数模页面观察对象映射。</w:t>
            </w:r>
          </w:p>
        </w:tc>
        <w:tc>
          <w:tcPr>
            <w:tcW w:w="345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CC2448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GIS/3D 截图、对象说明。</w:t>
            </w:r>
          </w:p>
        </w:tc>
      </w:tr>
      <w:tr w14:paraId="4AD85CFB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1A68BF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第四阶段：方案设计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43D6C4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学生端设置配时、管制、绕行等策略。</w:t>
            </w:r>
          </w:p>
        </w:tc>
        <w:tc>
          <w:tcPr>
            <w:tcW w:w="345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34F801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方案参数表。</w:t>
            </w:r>
          </w:p>
        </w:tc>
      </w:tr>
      <w:tr w14:paraId="0754220C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1A4090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第五阶段：仿真解释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C9A131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系统输出优化前后对比。</w:t>
            </w:r>
          </w:p>
        </w:tc>
        <w:tc>
          <w:tcPr>
            <w:tcW w:w="345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991B26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指标对比图、系统点评。</w:t>
            </w:r>
          </w:p>
        </w:tc>
      </w:tr>
      <w:tr w14:paraId="45171A5D">
        <w:trPr>
          <w:trHeight w:val="0" w:hRule="atLeast"/>
          <w:jc w:val="center"/>
        </w:trPr>
        <w:tc>
          <w:tcPr>
            <w:tcW w:w="231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B719D4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第六阶段：报告复盘</w:t>
            </w:r>
          </w:p>
        </w:tc>
        <w:tc>
          <w:tcPr>
            <w:tcW w:w="459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9FC112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学生提交报告，教师评分点评。</w:t>
            </w:r>
          </w:p>
        </w:tc>
        <w:tc>
          <w:tcPr>
            <w:tcW w:w="345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940B39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实训报告、评分表、复盘记录。</w:t>
            </w:r>
          </w:p>
        </w:tc>
      </w:tr>
    </w:tbl>
    <w:p w14:paraId="6A870CE8">
      <w:pPr>
        <w:rPr>
          <w:rFonts w:hint="default" w:ascii="Times New Roman Regular" w:hAnsi="Times New Roman Regular" w:eastAsia="仿宋" w:cs="Times New Roman Regular"/>
        </w:rPr>
      </w:pPr>
    </w:p>
    <w:p w14:paraId="1FC388B8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四类实训项目操作指导</w:t>
      </w:r>
    </w:p>
    <w:p w14:paraId="70656595">
      <w:pPr>
        <w:pStyle w:val="4"/>
        <w:numPr>
          <w:ilvl w:val="0"/>
          <w:numId w:val="23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路网运行态势感知实训</w:t>
      </w:r>
    </w:p>
    <w:p w14:paraId="36201DFC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学生基于驾驶舱和数据感知页面读取交通运行指标，判断片区是否存在拥堵、缓行、事故和违法风险。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8902"/>
      </w:tblGrid>
      <w:tr w14:paraId="24B49E90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44F9069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项目</w:t>
            </w:r>
          </w:p>
        </w:tc>
        <w:tc>
          <w:tcPr>
            <w:tcW w:w="890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0B2B497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说明</w:t>
            </w:r>
          </w:p>
        </w:tc>
      </w:tr>
      <w:tr w14:paraId="63365DEA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83A9E3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输入数据</w:t>
            </w:r>
          </w:p>
        </w:tc>
        <w:tc>
          <w:tcPr>
            <w:tcW w:w="890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359B53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通行指数、区域交通量、平均车速、事故事件、违法风险、ETC 超速</w:t>
            </w:r>
          </w:p>
        </w:tc>
      </w:tr>
      <w:tr w14:paraId="05A2E4D0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8433E4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操作页面</w:t>
            </w:r>
          </w:p>
        </w:tc>
        <w:tc>
          <w:tcPr>
            <w:tcW w:w="890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F25EE4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数字孪生驾驶舱、数据感知、3D 数模</w:t>
            </w:r>
          </w:p>
        </w:tc>
      </w:tr>
      <w:tr w14:paraId="6BB3F4B7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B35807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学生输出</w:t>
            </w:r>
          </w:p>
        </w:tc>
        <w:tc>
          <w:tcPr>
            <w:tcW w:w="890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DDD5E6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态势判断表、异常路段清单、数据依据说明</w:t>
            </w:r>
          </w:p>
        </w:tc>
      </w:tr>
      <w:tr w14:paraId="4CF2AF4D">
        <w:trPr>
          <w:trHeight w:val="0" w:hRule="atLeast"/>
          <w:jc w:val="center"/>
        </w:trPr>
        <w:tc>
          <w:tcPr>
            <w:tcW w:w="145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908E0A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评价重点</w:t>
            </w:r>
          </w:p>
        </w:tc>
        <w:tc>
          <w:tcPr>
            <w:tcW w:w="890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EC5162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数据读取是否准确，异常判断是否有依据</w:t>
            </w:r>
          </w:p>
        </w:tc>
      </w:tr>
    </w:tbl>
    <w:p w14:paraId="773A2D25">
      <w:pPr>
        <w:rPr>
          <w:rFonts w:hint="default" w:ascii="Times New Roman Regular" w:hAnsi="Times New Roman Regular" w:eastAsia="仿宋" w:cs="Times New Roman Regular"/>
        </w:rPr>
      </w:pPr>
    </w:p>
    <w:p w14:paraId="15ABF912">
      <w:pPr>
        <w:pStyle w:val="4"/>
        <w:numPr>
          <w:ilvl w:val="0"/>
          <w:numId w:val="23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交叉口拥堵诊断与信号优化实训</w:t>
      </w:r>
    </w:p>
    <w:p w14:paraId="7AAB6246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学生识别拥堵进口道，调整信号周期、绿信比和相位方案，比较优化前后指标变化。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8332"/>
      </w:tblGrid>
      <w:tr w14:paraId="60F414FE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12B1E0A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项目</w:t>
            </w:r>
          </w:p>
        </w:tc>
        <w:tc>
          <w:tcPr>
            <w:tcW w:w="833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4447A01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说明</w:t>
            </w:r>
          </w:p>
        </w:tc>
      </w:tr>
      <w:tr w14:paraId="4A987552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921379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输入数据</w:t>
            </w:r>
          </w:p>
        </w:tc>
        <w:tc>
          <w:tcPr>
            <w:tcW w:w="833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9204B6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流量、速度、排队长度、拥堵指数、信号状态</w:t>
            </w:r>
          </w:p>
        </w:tc>
      </w:tr>
      <w:tr w14:paraId="4C98D87C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871F84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操作页面</w:t>
            </w:r>
          </w:p>
        </w:tc>
        <w:tc>
          <w:tcPr>
            <w:tcW w:w="833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DAEB26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3D 数模、学生端、仿真推演、评价复盘</w:t>
            </w:r>
          </w:p>
        </w:tc>
      </w:tr>
      <w:tr w14:paraId="76C4ADBA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CAC7F4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学生输出</w:t>
            </w:r>
          </w:p>
        </w:tc>
        <w:tc>
          <w:tcPr>
            <w:tcW w:w="833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0AAA36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信号优化方案、指标对比图、复盘报告</w:t>
            </w:r>
          </w:p>
        </w:tc>
      </w:tr>
      <w:tr w14:paraId="1031E4C8">
        <w:trPr>
          <w:trHeight w:val="0" w:hRule="atLeast"/>
          <w:jc w:val="center"/>
        </w:trPr>
        <w:tc>
          <w:tcPr>
            <w:tcW w:w="202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26B2E5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评价重点</w:t>
            </w:r>
          </w:p>
        </w:tc>
        <w:tc>
          <w:tcPr>
            <w:tcW w:w="833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26BB2F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方案参数是否合理，指标解释是否充分</w:t>
            </w:r>
          </w:p>
        </w:tc>
      </w:tr>
    </w:tbl>
    <w:p w14:paraId="7E4CCDE0">
      <w:pPr>
        <w:rPr>
          <w:rFonts w:hint="default" w:ascii="Times New Roman Regular" w:hAnsi="Times New Roman Regular" w:eastAsia="仿宋" w:cs="Times New Roman Regular"/>
        </w:rPr>
      </w:pPr>
    </w:p>
    <w:p w14:paraId="42AD98C1">
      <w:pPr>
        <w:pStyle w:val="4"/>
        <w:numPr>
          <w:ilvl w:val="0"/>
          <w:numId w:val="23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交通事件预警与应急管控实训</w:t>
      </w:r>
    </w:p>
    <w:p w14:paraId="18DFCDDA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学生基于事故事件和拥堵扩散状态，完成事件分级、管制区域设置、绕行诱导和风险复盘。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8709"/>
      </w:tblGrid>
      <w:tr w14:paraId="0FD040B2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6ECF4E2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项目</w:t>
            </w:r>
          </w:p>
        </w:tc>
        <w:tc>
          <w:tcPr>
            <w:tcW w:w="870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7074DD9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说明</w:t>
            </w:r>
          </w:p>
        </w:tc>
      </w:tr>
      <w:tr w14:paraId="5808DCD8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2798E5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输入数据</w:t>
            </w:r>
          </w:p>
        </w:tc>
        <w:tc>
          <w:tcPr>
            <w:tcW w:w="870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8D3320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事故位置、影响范围、排队长度、二次事故风险、分流比例</w:t>
            </w:r>
          </w:p>
        </w:tc>
      </w:tr>
      <w:tr w14:paraId="0BDBB43A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972916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操作页面</w:t>
            </w:r>
          </w:p>
        </w:tc>
        <w:tc>
          <w:tcPr>
            <w:tcW w:w="870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BD4C0E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数据感知、3D 数模、学生端、仿真推演</w:t>
            </w:r>
          </w:p>
        </w:tc>
      </w:tr>
      <w:tr w14:paraId="38021132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7AF612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学生输出</w:t>
            </w:r>
          </w:p>
        </w:tc>
        <w:tc>
          <w:tcPr>
            <w:tcW w:w="870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9CFBC9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事件管控决策单、绕行路线说明、风险复盘</w:t>
            </w:r>
          </w:p>
        </w:tc>
      </w:tr>
      <w:tr w14:paraId="21AC14F7">
        <w:trPr>
          <w:trHeight w:val="0" w:hRule="atLeast"/>
          <w:jc w:val="center"/>
        </w:trPr>
        <w:tc>
          <w:tcPr>
            <w:tcW w:w="164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7285C3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评价重点</w:t>
            </w:r>
          </w:p>
        </w:tc>
        <w:tc>
          <w:tcPr>
            <w:tcW w:w="870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7264DC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处置策略是否能降低风险并兼顾通行效率</w:t>
            </w:r>
          </w:p>
        </w:tc>
      </w:tr>
    </w:tbl>
    <w:p w14:paraId="6C052A94">
      <w:pPr>
        <w:rPr>
          <w:rFonts w:hint="default" w:ascii="Times New Roman Regular" w:hAnsi="Times New Roman Regular" w:eastAsia="仿宋" w:cs="Times New Roman Regular"/>
        </w:rPr>
      </w:pPr>
    </w:p>
    <w:p w14:paraId="4E15CD2A">
      <w:pPr>
        <w:pStyle w:val="4"/>
        <w:numPr>
          <w:ilvl w:val="0"/>
          <w:numId w:val="23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重点区域综合交通治理实训</w:t>
      </w:r>
    </w:p>
    <w:p w14:paraId="5615D34D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学生针对校园、医院、商圈或枢纽周边区域进行综合交通组织优化。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8869"/>
      </w:tblGrid>
      <w:tr w14:paraId="195035D1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0373AB8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项目</w:t>
            </w:r>
          </w:p>
        </w:tc>
        <w:tc>
          <w:tcPr>
            <w:tcW w:w="886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03C719D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说明</w:t>
            </w:r>
          </w:p>
        </w:tc>
      </w:tr>
      <w:tr w14:paraId="0A725D55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B03785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输入数据</w:t>
            </w:r>
          </w:p>
        </w:tc>
        <w:tc>
          <w:tcPr>
            <w:tcW w:w="886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5D56FA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区域流量、违法风险、事故事件、停车/出入口影响、行人过街需求</w:t>
            </w:r>
          </w:p>
        </w:tc>
      </w:tr>
      <w:tr w14:paraId="66674004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6A9267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操作页面</w:t>
            </w:r>
          </w:p>
        </w:tc>
        <w:tc>
          <w:tcPr>
            <w:tcW w:w="886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D073A4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驾驶舱、数据感知、3D 数模、教学成果中心</w:t>
            </w:r>
          </w:p>
        </w:tc>
      </w:tr>
      <w:tr w14:paraId="5D91E9E5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FA227D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学生输出</w:t>
            </w:r>
          </w:p>
        </w:tc>
        <w:tc>
          <w:tcPr>
            <w:tcW w:w="886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ED8351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区域治理方案、问题清单、推广建议</w:t>
            </w:r>
          </w:p>
        </w:tc>
      </w:tr>
      <w:tr w14:paraId="24CEA949">
        <w:trPr>
          <w:trHeight w:val="0" w:hRule="atLeast"/>
          <w:jc w:val="center"/>
        </w:trPr>
        <w:tc>
          <w:tcPr>
            <w:tcW w:w="148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737015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评价重点</w:t>
            </w:r>
          </w:p>
        </w:tc>
        <w:tc>
          <w:tcPr>
            <w:tcW w:w="886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BAF29B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是否具备系统治理思维和综合分析能力</w:t>
            </w:r>
          </w:p>
        </w:tc>
      </w:tr>
    </w:tbl>
    <w:p w14:paraId="2D71EE20">
      <w:pPr>
        <w:rPr>
          <w:rFonts w:hint="default" w:ascii="Times New Roman Regular" w:hAnsi="Times New Roman Regular" w:eastAsia="仿宋" w:cs="Times New Roman Regular"/>
        </w:rPr>
      </w:pPr>
    </w:p>
    <w:p w14:paraId="1E9EB391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学习评价指标体系与证据归档</w:t>
      </w:r>
    </w:p>
    <w:p w14:paraId="76B0026D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评价体系应同时体现过程性评价和结果性评价。过程性评价关注学生是否按照系统流程完成数据读取、数模观察、方案提交和复盘报告；结果性评价关注方案是否有效、指标是否改善、报告是否规范。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988"/>
        <w:gridCol w:w="7232"/>
      </w:tblGrid>
      <w:tr w14:paraId="1170FBD0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527F29C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评价维度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1114E4C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权重</w:t>
            </w:r>
          </w:p>
        </w:tc>
        <w:tc>
          <w:tcPr>
            <w:tcW w:w="723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61A9B8E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评价要点</w:t>
            </w:r>
          </w:p>
        </w:tc>
      </w:tr>
      <w:tr w14:paraId="7F226B75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71D22E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交通态势识别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1250BE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15%</w:t>
            </w:r>
          </w:p>
        </w:tc>
        <w:tc>
          <w:tcPr>
            <w:tcW w:w="723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E17EC9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能依据通行指数、速度、流量和事件判断路网状态。</w:t>
            </w:r>
          </w:p>
        </w:tc>
      </w:tr>
      <w:tr w14:paraId="7FED4E5C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C11982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交通数据分析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0F4FDB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20%</w:t>
            </w:r>
          </w:p>
        </w:tc>
        <w:tc>
          <w:tcPr>
            <w:tcW w:w="723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5BAE85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能读取关键数据并说明数据与问题之间的关系。</w:t>
            </w:r>
          </w:p>
        </w:tc>
      </w:tr>
      <w:tr w14:paraId="1AEE2A99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9CF47C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数模对象理解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ABDCA3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15%</w:t>
            </w:r>
          </w:p>
        </w:tc>
        <w:tc>
          <w:tcPr>
            <w:tcW w:w="723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D4B2BE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能把数据变化对应到 GIS/3D 路网对象。</w:t>
            </w:r>
          </w:p>
        </w:tc>
      </w:tr>
      <w:tr w14:paraId="02D127C2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6FD4C6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方案设计能力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CF23F4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20%</w:t>
            </w:r>
          </w:p>
        </w:tc>
        <w:tc>
          <w:tcPr>
            <w:tcW w:w="723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24A639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能合理设置信号、绕行、管制等参数。</w:t>
            </w:r>
          </w:p>
        </w:tc>
      </w:tr>
      <w:tr w14:paraId="11688A97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9C13F5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仿真结果解释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91F93B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15%</w:t>
            </w:r>
          </w:p>
        </w:tc>
        <w:tc>
          <w:tcPr>
            <w:tcW w:w="723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995932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能解释优化前后指标变化和方案效果。</w:t>
            </w:r>
          </w:p>
        </w:tc>
      </w:tr>
      <w:tr w14:paraId="333F5370">
        <w:trPr>
          <w:trHeight w:val="0" w:hRule="atLeast"/>
          <w:jc w:val="center"/>
        </w:trPr>
        <w:tc>
          <w:tcPr>
            <w:tcW w:w="213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BFC92D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复盘报告表达</w:t>
            </w:r>
          </w:p>
        </w:tc>
        <w:tc>
          <w:tcPr>
            <w:tcW w:w="988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E3941D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15%</w:t>
            </w:r>
          </w:p>
        </w:tc>
        <w:tc>
          <w:tcPr>
            <w:tcW w:w="723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FE9CCA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报告结构清楚，能反思不足并提出改进建议。</w:t>
            </w:r>
          </w:p>
        </w:tc>
      </w:tr>
    </w:tbl>
    <w:p w14:paraId="286A5E88">
      <w:pPr>
        <w:rPr>
          <w:rFonts w:hint="default" w:ascii="Times New Roman Regular" w:hAnsi="Times New Roman Regular" w:eastAsia="仿宋" w:cs="Times New Roman Regular"/>
        </w:rPr>
      </w:pPr>
    </w:p>
    <w:p w14:paraId="40631DA9">
      <w:pPr>
        <w:pStyle w:val="4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17.1 学习证据归档清单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4"/>
        <w:gridCol w:w="3101"/>
        <w:gridCol w:w="4931"/>
      </w:tblGrid>
      <w:tr w14:paraId="1DFECF91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5F4E542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证据材料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69B4FEF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来源页面</w:t>
            </w:r>
          </w:p>
        </w:tc>
        <w:tc>
          <w:tcPr>
            <w:tcW w:w="49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110B1F5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用途</w:t>
            </w:r>
          </w:p>
        </w:tc>
      </w:tr>
      <w:tr w14:paraId="3D653A32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9A99AC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任务书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B85195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教师端/支撑材料</w:t>
            </w:r>
          </w:p>
        </w:tc>
        <w:tc>
          <w:tcPr>
            <w:tcW w:w="49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11018B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说明实训目标和提交要求。</w:t>
            </w:r>
          </w:p>
        </w:tc>
      </w:tr>
      <w:tr w14:paraId="101B934E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AAC6DA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数据读取表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9A2EC7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数据感知/驾驶舱</w:t>
            </w:r>
          </w:p>
        </w:tc>
        <w:tc>
          <w:tcPr>
            <w:tcW w:w="49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43DDE4E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证明学生完成数据分析。</w:t>
            </w:r>
          </w:p>
        </w:tc>
      </w:tr>
      <w:tr w14:paraId="7E8E250C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CDDF06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GIS/3D 截图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82A223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3D 数模</w:t>
            </w:r>
          </w:p>
        </w:tc>
        <w:tc>
          <w:tcPr>
            <w:tcW w:w="49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112AD7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证明学生完成数模观察。</w:t>
            </w:r>
          </w:p>
        </w:tc>
      </w:tr>
      <w:tr w14:paraId="76C87A94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57416C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方案参数表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1D635C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学生端</w:t>
            </w:r>
          </w:p>
        </w:tc>
        <w:tc>
          <w:tcPr>
            <w:tcW w:w="49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8376BA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证明学生完成方案设计。</w:t>
            </w:r>
          </w:p>
        </w:tc>
      </w:tr>
      <w:tr w14:paraId="15A978F9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BFA433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仿真结果截图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7873C1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仿真推演</w:t>
            </w:r>
          </w:p>
        </w:tc>
        <w:tc>
          <w:tcPr>
            <w:tcW w:w="49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379286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证明方案效果可比较。</w:t>
            </w:r>
          </w:p>
        </w:tc>
      </w:tr>
      <w:tr w14:paraId="49A4DCE4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EF91E3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能力评价截图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9DD701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评价复盘</w:t>
            </w:r>
          </w:p>
        </w:tc>
        <w:tc>
          <w:tcPr>
            <w:tcW w:w="49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4A3779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证明过程评价和结果评价。</w:t>
            </w:r>
          </w:p>
        </w:tc>
      </w:tr>
      <w:tr w14:paraId="2C54D35F">
        <w:trPr>
          <w:trHeight w:val="0" w:hRule="atLeast"/>
          <w:jc w:val="center"/>
        </w:trPr>
        <w:tc>
          <w:tcPr>
            <w:tcW w:w="232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8470AC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实训报告</w:t>
            </w:r>
          </w:p>
        </w:tc>
        <w:tc>
          <w:tcPr>
            <w:tcW w:w="310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4BA1A6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评价复盘/学生提交</w:t>
            </w:r>
          </w:p>
        </w:tc>
        <w:tc>
          <w:tcPr>
            <w:tcW w:w="493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EC0AFB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作为课程归档和比赛支撑材料。</w:t>
            </w:r>
          </w:p>
        </w:tc>
      </w:tr>
    </w:tbl>
    <w:p w14:paraId="2D1B9798">
      <w:pPr>
        <w:rPr>
          <w:rFonts w:hint="default" w:ascii="Times New Roman Regular" w:hAnsi="Times New Roman Regular" w:eastAsia="仿宋" w:cs="Times New Roman Regular"/>
        </w:rPr>
      </w:pPr>
    </w:p>
    <w:p w14:paraId="587AAD02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比赛展示与系统演示组织</w:t>
      </w:r>
    </w:p>
    <w:p w14:paraId="7FE0B278">
      <w:pPr>
        <w:pStyle w:val="19"/>
        <w:widowControl/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比赛展示应避免陷入“逐页介绍系统菜单”的低效方式。推荐采用“作品定位—系统总览—双驱动证据—教师组织—学生操作—仿真推演—评价复盘—成果沉淀”的主线。</w:t>
      </w:r>
    </w:p>
    <w:p w14:paraId="6D7E7B7A">
      <w:pPr>
        <w:pStyle w:val="4"/>
        <w:numPr>
          <w:ilvl w:val="0"/>
          <w:numId w:val="24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标准演示流程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2440"/>
        <w:gridCol w:w="6942"/>
      </w:tblGrid>
      <w:tr w14:paraId="40C8371E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197C284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顺序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6A5AF77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页面</w:t>
            </w:r>
          </w:p>
        </w:tc>
        <w:tc>
          <w:tcPr>
            <w:tcW w:w="694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65EC4B1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讲解重点</w:t>
            </w:r>
          </w:p>
        </w:tc>
      </w:tr>
      <w:tr w14:paraId="070B692B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0D4FC8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206F31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作品导览</w:t>
            </w:r>
          </w:p>
        </w:tc>
        <w:tc>
          <w:tcPr>
            <w:tcW w:w="694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0F62E3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说明作品定位、课程依托和双驱动逻辑。</w:t>
            </w:r>
          </w:p>
        </w:tc>
      </w:tr>
      <w:tr w14:paraId="18057D69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6E094B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2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ED0D62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数字孪生驾驶舱</w:t>
            </w:r>
          </w:p>
        </w:tc>
        <w:tc>
          <w:tcPr>
            <w:tcW w:w="694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1E5633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展示交通态势与教学任务联动。</w:t>
            </w:r>
          </w:p>
        </w:tc>
      </w:tr>
      <w:tr w14:paraId="79436B6E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1E64A9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1ADF95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数据感知</w:t>
            </w:r>
          </w:p>
        </w:tc>
        <w:tc>
          <w:tcPr>
            <w:tcW w:w="694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5A068D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展示多源交通样例数据支撑实训。</w:t>
            </w:r>
          </w:p>
        </w:tc>
      </w:tr>
      <w:tr w14:paraId="3321C926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82EC3D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4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5D58BC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3D 数模</w:t>
            </w:r>
          </w:p>
        </w:tc>
        <w:tc>
          <w:tcPr>
            <w:tcW w:w="694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6B0D7C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展示道路、车辆、信号、检测器和事件对象映射。</w:t>
            </w:r>
          </w:p>
        </w:tc>
      </w:tr>
      <w:tr w14:paraId="6A98D171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E196E1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5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14EB34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教师端</w:t>
            </w:r>
          </w:p>
        </w:tc>
        <w:tc>
          <w:tcPr>
            <w:tcW w:w="694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9F3DBB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展示教师发布任务与组织教学。</w:t>
            </w:r>
          </w:p>
        </w:tc>
      </w:tr>
      <w:tr w14:paraId="569EF12F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0ACD46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6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583464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学生端</w:t>
            </w:r>
          </w:p>
        </w:tc>
        <w:tc>
          <w:tcPr>
            <w:tcW w:w="694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2E0145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展示学生完成方案设计与提交。</w:t>
            </w:r>
          </w:p>
        </w:tc>
      </w:tr>
      <w:tr w14:paraId="022E8F07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4E1C7A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7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91154D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仿真推演</w:t>
            </w:r>
          </w:p>
        </w:tc>
        <w:tc>
          <w:tcPr>
            <w:tcW w:w="694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77B80A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展示控制方案前后指标变化。</w:t>
            </w:r>
          </w:p>
        </w:tc>
      </w:tr>
      <w:tr w14:paraId="3657222C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3CAA76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8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A07887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评价复盘</w:t>
            </w:r>
          </w:p>
        </w:tc>
        <w:tc>
          <w:tcPr>
            <w:tcW w:w="694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6678BE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展示能力评价、过程记录和教师点评。</w:t>
            </w:r>
          </w:p>
        </w:tc>
      </w:tr>
      <w:tr w14:paraId="1249B011">
        <w:trPr>
          <w:trHeight w:val="0" w:hRule="atLeast"/>
          <w:jc w:val="center"/>
        </w:trPr>
        <w:tc>
          <w:tcPr>
            <w:tcW w:w="97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3B98B9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9</w:t>
            </w:r>
          </w:p>
        </w:tc>
        <w:tc>
          <w:tcPr>
            <w:tcW w:w="244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8CD6BA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教学成果中心</w:t>
            </w:r>
          </w:p>
        </w:tc>
        <w:tc>
          <w:tcPr>
            <w:tcW w:w="694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033D96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展示平台成果和教学应用材料。</w:t>
            </w:r>
          </w:p>
        </w:tc>
      </w:tr>
    </w:tbl>
    <w:p w14:paraId="5706E590">
      <w:pPr>
        <w:rPr>
          <w:rFonts w:hint="default" w:ascii="Times New Roman Regular" w:hAnsi="Times New Roman Regular" w:eastAsia="仿宋" w:cs="Times New Roman Regular"/>
        </w:rPr>
      </w:pPr>
    </w:p>
    <w:p w14:paraId="218B238D">
      <w:pPr>
        <w:pStyle w:val="4"/>
        <w:numPr>
          <w:ilvl w:val="0"/>
          <w:numId w:val="24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3—5分钟演示建议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6341"/>
        <w:gridCol w:w="1871"/>
      </w:tblGrid>
      <w:tr w14:paraId="4224DD37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5DCCE39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时间段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168F57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内容</w:t>
            </w:r>
          </w:p>
        </w:tc>
        <w:tc>
          <w:tcPr>
            <w:tcW w:w="187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8B712D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建议时长</w:t>
            </w:r>
          </w:p>
        </w:tc>
      </w:tr>
      <w:tr w14:paraId="7388D664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A710EA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开场定位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024242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作品导览、课程依托、教学痛点</w:t>
            </w:r>
          </w:p>
        </w:tc>
        <w:tc>
          <w:tcPr>
            <w:tcW w:w="187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2A3E0E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30秒</w:t>
            </w:r>
          </w:p>
        </w:tc>
      </w:tr>
      <w:tr w14:paraId="76C03009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7E5D12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系统总览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8CB3F7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数字孪生驾驶舱、交通态势与教学任务</w:t>
            </w:r>
          </w:p>
        </w:tc>
        <w:tc>
          <w:tcPr>
            <w:tcW w:w="187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93770A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40秒</w:t>
            </w:r>
          </w:p>
        </w:tc>
      </w:tr>
      <w:tr w14:paraId="73B16C3B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96EE27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双驱动证据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54D880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数据感知 + 3D 数模</w:t>
            </w:r>
          </w:p>
        </w:tc>
        <w:tc>
          <w:tcPr>
            <w:tcW w:w="187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5AB8BE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70秒</w:t>
            </w:r>
          </w:p>
        </w:tc>
      </w:tr>
      <w:tr w14:paraId="3BD3603A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FDF86D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教学操作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2EC37F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教师端发布任务 + 学生端提交方案</w:t>
            </w:r>
          </w:p>
        </w:tc>
        <w:tc>
          <w:tcPr>
            <w:tcW w:w="187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E41FF1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60秒</w:t>
            </w:r>
          </w:p>
        </w:tc>
      </w:tr>
      <w:tr w14:paraId="4E20FAC2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ED7C52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结果反馈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10053E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仿真推演 + 评价复盘</w:t>
            </w:r>
          </w:p>
        </w:tc>
        <w:tc>
          <w:tcPr>
            <w:tcW w:w="187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388D1E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70秒</w:t>
            </w:r>
          </w:p>
        </w:tc>
      </w:tr>
      <w:tr w14:paraId="741A2B66">
        <w:trPr>
          <w:trHeight w:val="0" w:hRule="atLeast"/>
          <w:jc w:val="center"/>
        </w:trPr>
        <w:tc>
          <w:tcPr>
            <w:tcW w:w="214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BE5366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成果收束</w:t>
            </w:r>
          </w:p>
        </w:tc>
        <w:tc>
          <w:tcPr>
            <w:tcW w:w="634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BFD4B6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教学成果中心、推广价值</w:t>
            </w:r>
          </w:p>
        </w:tc>
        <w:tc>
          <w:tcPr>
            <w:tcW w:w="1871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FC590F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20秒</w:t>
            </w:r>
          </w:p>
        </w:tc>
      </w:tr>
    </w:tbl>
    <w:p w14:paraId="026D9CD6">
      <w:pPr>
        <w:rPr>
          <w:rFonts w:hint="default" w:ascii="Times New Roman Regular" w:hAnsi="Times New Roman Regular" w:eastAsia="仿宋" w:cs="Times New Roman Regular"/>
        </w:rPr>
      </w:pPr>
    </w:p>
    <w:tbl>
      <w:tblPr>
        <w:tblStyle w:val="3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8"/>
      </w:tblGrid>
      <w:tr w14:paraId="2573589A">
        <w:trPr>
          <w:jc w:val="center"/>
        </w:trPr>
        <w:tc>
          <w:tcPr>
            <w:tcW w:w="5000" w:type="pct"/>
            <w:tcBorders>
              <w:top w:val="single" w:color="8BB7E8" w:sz="8" w:space="0"/>
              <w:left w:val="single" w:color="8BB7E8" w:sz="8" w:space="0"/>
              <w:bottom w:val="single" w:color="8BB7E8" w:sz="8" w:space="0"/>
              <w:right w:val="single" w:color="8BB7E8" w:sz="8" w:space="0"/>
            </w:tcBorders>
            <w:shd w:val="clear" w:color="auto" w:fill="EAF3FF"/>
          </w:tcPr>
          <w:p w14:paraId="6E56DA3D">
            <w:pPr>
              <w:spacing w:after="60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1F4E79"/>
                <w:sz w:val="21"/>
              </w:rPr>
              <w:t>答辩口径</w:t>
            </w:r>
          </w:p>
          <w:p w14:paraId="5BC1CF27">
            <w:pPr>
              <w:spacing w:line="288" w:lineRule="auto"/>
              <w:rPr>
                <w:rFonts w:hint="default" w:ascii="Times New Roman Regular" w:hAnsi="Times New Roman Regular" w:eastAsia="仿宋" w:cs="Times New Roman Regular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不要长时间停留在单个图表页面。讲解应围绕“教师怎么教、学生怎么练、系统怎么推演、学习怎么评价”展开。</w:t>
            </w:r>
          </w:p>
        </w:tc>
      </w:tr>
    </w:tbl>
    <w:p w14:paraId="470F29C2">
      <w:pPr>
        <w:rPr>
          <w:rFonts w:hint="default" w:ascii="Times New Roman Regular" w:hAnsi="Times New Roman Regular" w:eastAsia="仿宋" w:cs="Times New Roman Regular"/>
        </w:rPr>
      </w:pPr>
    </w:p>
    <w:p w14:paraId="156BD258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常见问题、维护与版本管理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3803"/>
        <w:gridCol w:w="4957"/>
      </w:tblGrid>
      <w:tr w14:paraId="07AF89DE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3237861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问题</w:t>
            </w:r>
          </w:p>
        </w:tc>
        <w:tc>
          <w:tcPr>
            <w:tcW w:w="380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37C10C5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可能原因</w:t>
            </w:r>
          </w:p>
        </w:tc>
        <w:tc>
          <w:tcPr>
            <w:tcW w:w="495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17A8895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处理办法</w:t>
            </w:r>
          </w:p>
        </w:tc>
      </w:tr>
      <w:tr w14:paraId="3499E158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EDBFFF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页面空白</w:t>
            </w:r>
          </w:p>
        </w:tc>
        <w:tc>
          <w:tcPr>
            <w:tcW w:w="380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833172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浏览器限制本地脚本加载或资源路径异常。</w:t>
            </w:r>
          </w:p>
        </w:tc>
        <w:tc>
          <w:tcPr>
            <w:tcW w:w="495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934EBD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使用启动脚本打开本地服务；确认 assets 文件夹未丢失。</w:t>
            </w:r>
          </w:p>
        </w:tc>
      </w:tr>
      <w:tr w14:paraId="3D3B94F9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97E8CE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3D 页面加载慢</w:t>
            </w:r>
          </w:p>
        </w:tc>
        <w:tc>
          <w:tcPr>
            <w:tcW w:w="380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C112A1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浏览器性能或设备显卡较弱。</w:t>
            </w:r>
          </w:p>
        </w:tc>
        <w:tc>
          <w:tcPr>
            <w:tcW w:w="495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75830A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提前打开页面预热；答辩时使用性能较好的电脑。</w:t>
            </w:r>
          </w:p>
        </w:tc>
      </w:tr>
      <w:tr w14:paraId="6AD974AA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B29F5A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刷新后 404</w:t>
            </w:r>
          </w:p>
        </w:tc>
        <w:tc>
          <w:tcPr>
            <w:tcW w:w="380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644090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前端路由未由本地服务器回退到 index.html。</w:t>
            </w:r>
          </w:p>
        </w:tc>
        <w:tc>
          <w:tcPr>
            <w:tcW w:w="495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28DC70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使用 start-offline-server.py 启动，避免直接访问深层路由。</w:t>
            </w:r>
          </w:p>
        </w:tc>
      </w:tr>
      <w:tr w14:paraId="168F75C6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BAE694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图表显示异常</w:t>
            </w:r>
          </w:p>
        </w:tc>
        <w:tc>
          <w:tcPr>
            <w:tcW w:w="380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9CA142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静态资源未完整复制。</w:t>
            </w:r>
          </w:p>
        </w:tc>
        <w:tc>
          <w:tcPr>
            <w:tcW w:w="495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8BDB52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重新复制完整离线包，不要只复制 index.html。</w:t>
            </w:r>
          </w:p>
        </w:tc>
      </w:tr>
      <w:tr w14:paraId="7BE71C12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22FCE5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现场网络不稳定</w:t>
            </w:r>
          </w:p>
        </w:tc>
        <w:tc>
          <w:tcPr>
            <w:tcW w:w="380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A9F3AD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公网链接无法访问。</w:t>
            </w:r>
          </w:p>
        </w:tc>
        <w:tc>
          <w:tcPr>
            <w:tcW w:w="495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73B9F3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使用离线演示包作为备用。</w:t>
            </w:r>
          </w:p>
        </w:tc>
      </w:tr>
      <w:tr w14:paraId="781CF2C4">
        <w:trPr>
          <w:trHeight w:val="0" w:hRule="atLeast"/>
          <w:jc w:val="center"/>
        </w:trPr>
        <w:tc>
          <w:tcPr>
            <w:tcW w:w="1596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4FE5FD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页面文字太小</w:t>
            </w:r>
          </w:p>
        </w:tc>
        <w:tc>
          <w:tcPr>
            <w:tcW w:w="3803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9716A0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投影分辨率或浏览器缩放不适合。</w:t>
            </w:r>
          </w:p>
        </w:tc>
        <w:tc>
          <w:tcPr>
            <w:tcW w:w="495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D0B89F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浏览器缩放调整到 90%—100%，必要时进入全屏。</w:t>
            </w:r>
          </w:p>
        </w:tc>
      </w:tr>
    </w:tbl>
    <w:p w14:paraId="5B6B80CF">
      <w:pPr>
        <w:rPr>
          <w:rFonts w:hint="default" w:ascii="Times New Roman Regular" w:hAnsi="Times New Roman Regular" w:eastAsia="仿宋" w:cs="Times New Roman Regular"/>
        </w:rPr>
      </w:pPr>
    </w:p>
    <w:p w14:paraId="30CAF1B0">
      <w:pPr>
        <w:pStyle w:val="4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19.1 维护建议</w:t>
      </w:r>
    </w:p>
    <w:p w14:paraId="476B6B68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每次修改系统后，重新执行构建并生成新的离线演示包。</w:t>
      </w:r>
    </w:p>
    <w:p w14:paraId="2848FAD0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正式答辩前分别测试 Windows、macOS 和公网链接。</w:t>
      </w:r>
    </w:p>
    <w:p w14:paraId="2C9324D4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系统界面建议使用“教学样例数据”，不要在正式展示中出现 Mock 字样。</w:t>
      </w:r>
    </w:p>
    <w:p w14:paraId="0F40AA28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系统页面中不宜频繁出现赛道编号，赛道契合放在 PPT 和项目报告中说明。</w:t>
      </w:r>
    </w:p>
    <w:p w14:paraId="1DE681E4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保留一份完整截图集，用于项目报告、PPT 和 3DShow 展示页。</w:t>
      </w:r>
    </w:p>
    <w:p w14:paraId="600AF44F">
      <w:pPr>
        <w:pStyle w:val="19"/>
        <w:widowControl/>
        <w:numPr>
          <w:ilvl w:val="0"/>
          <w:numId w:val="3"/>
        </w:numPr>
        <w:rPr>
          <w:rFonts w:hint="default" w:ascii="Times New Roman Regular" w:hAnsi="Times New Roman Regular" w:eastAsia="仿宋" w:cs="Times New Roman Regular"/>
          <w:sz w:val="24"/>
          <w:szCs w:val="24"/>
        </w:rPr>
      </w:pPr>
      <w:r>
        <w:rPr>
          <w:rFonts w:hint="default" w:ascii="Times New Roman Regular" w:hAnsi="Times New Roman Regular" w:eastAsia="仿宋" w:cs="Times New Roman Regular"/>
          <w:sz w:val="24"/>
          <w:szCs w:val="24"/>
        </w:rPr>
        <w:t>更新系统后同步更新操作手册中的截图、路由和操作步骤。</w:t>
      </w:r>
    </w:p>
    <w:p w14:paraId="1E2387F5">
      <w:pPr>
        <w:pStyle w:val="31"/>
        <w:widowControl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附录 A：系统页面与支撑材料清单</w:t>
      </w:r>
    </w:p>
    <w:p w14:paraId="6BA7AE3E">
      <w:pPr>
        <w:pStyle w:val="3"/>
        <w:widowControl/>
        <w:numPr>
          <w:ilvl w:val="0"/>
          <w:numId w:val="25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系统页面清单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4555"/>
        <w:gridCol w:w="4127"/>
      </w:tblGrid>
      <w:tr w14:paraId="774CA6ED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F760CC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页面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793CA7E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用途</w:t>
            </w:r>
          </w:p>
        </w:tc>
        <w:tc>
          <w:tcPr>
            <w:tcW w:w="412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0AFA88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建议截图用途</w:t>
            </w:r>
          </w:p>
        </w:tc>
      </w:tr>
      <w:tr w14:paraId="0929A9A6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D9B28F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作品导览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124BBB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项目定位、课程依托、标准演示流程</w:t>
            </w:r>
          </w:p>
        </w:tc>
        <w:tc>
          <w:tcPr>
            <w:tcW w:w="412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1733CB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PPT封面后第二页、3DShow作品概况。</w:t>
            </w:r>
          </w:p>
        </w:tc>
      </w:tr>
      <w:tr w14:paraId="0890BC8F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FAC4C9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数字孪生驾驶舱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F0D3BF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交通态势、GIS/3D 主场景、教学实训进度</w:t>
            </w:r>
          </w:p>
        </w:tc>
        <w:tc>
          <w:tcPr>
            <w:tcW w:w="412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F2FDDC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项目报告“系统总览”章节。</w:t>
            </w:r>
          </w:p>
        </w:tc>
      </w:tr>
      <w:tr w14:paraId="071D43BB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D9BBFC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数据感知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F4C9AC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六类交通样例数据模块</w:t>
            </w:r>
          </w:p>
        </w:tc>
        <w:tc>
          <w:tcPr>
            <w:tcW w:w="412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ED7CF6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项目报告“数据驱动基础”章节。</w:t>
            </w:r>
          </w:p>
        </w:tc>
      </w:tr>
      <w:tr w14:paraId="49CCF19C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0C066D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3D 数模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6CCD5D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GIS 路网与局部 3D 交叉口数字孪生</w:t>
            </w:r>
          </w:p>
        </w:tc>
        <w:tc>
          <w:tcPr>
            <w:tcW w:w="412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2D8089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项目报告“3D数模驱动”章节。</w:t>
            </w:r>
          </w:p>
        </w:tc>
      </w:tr>
      <w:tr w14:paraId="6A370234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525FC0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教师端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538704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任务发布、分组组织、评分标准设置</w:t>
            </w:r>
          </w:p>
        </w:tc>
        <w:tc>
          <w:tcPr>
            <w:tcW w:w="412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4DB7FC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课程教学设计与演示视频。</w:t>
            </w:r>
          </w:p>
        </w:tc>
      </w:tr>
      <w:tr w14:paraId="21F18B54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101B0E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学生端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2119FA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任务接收、数据研判、方案设计、提交仿真</w:t>
            </w:r>
          </w:p>
        </w:tc>
        <w:tc>
          <w:tcPr>
            <w:tcW w:w="412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CD416D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实训任务书与实训报告包。</w:t>
            </w:r>
          </w:p>
        </w:tc>
      </w:tr>
      <w:tr w14:paraId="28050467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88ECE1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仿真推演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D667F6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优化前后指标对比、系统点评</w:t>
            </w:r>
          </w:p>
        </w:tc>
        <w:tc>
          <w:tcPr>
            <w:tcW w:w="412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0CF184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PPT核心展示页。</w:t>
            </w:r>
          </w:p>
        </w:tc>
      </w:tr>
      <w:tr w14:paraId="3D9C20B0">
        <w:trPr>
          <w:trHeight w:val="0" w:hRule="atLeast"/>
          <w:jc w:val="center"/>
        </w:trPr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EF961A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评价复盘</w:t>
            </w:r>
          </w:p>
        </w:tc>
        <w:tc>
          <w:tcPr>
            <w:tcW w:w="0" w:type="auto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6201E9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能力评价、操作时间线、教师点评、报告导出</w:t>
            </w:r>
          </w:p>
        </w:tc>
        <w:tc>
          <w:tcPr>
            <w:tcW w:w="412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84FEE9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教学评价与成果支撑材料。</w:t>
            </w:r>
          </w:p>
        </w:tc>
      </w:tr>
      <w:tr w14:paraId="30246E6F">
        <w:trPr>
          <w:trHeight w:val="0" w:hRule="atLeast"/>
          <w:jc w:val="center"/>
        </w:trPr>
        <w:tc>
          <w:tcPr>
            <w:tcW w:w="1674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0251B1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教学成果中心</w:t>
            </w:r>
          </w:p>
        </w:tc>
        <w:tc>
          <w:tcPr>
            <w:tcW w:w="455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EB9BEC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平台、数据、模型、场景、评价、应用成果汇聚</w:t>
            </w:r>
          </w:p>
        </w:tc>
        <w:tc>
          <w:tcPr>
            <w:tcW w:w="412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B0DE27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项目总结和成果矩阵展示。</w:t>
            </w:r>
          </w:p>
        </w:tc>
      </w:tr>
    </w:tbl>
    <w:p w14:paraId="30433000">
      <w:pPr>
        <w:rPr>
          <w:rFonts w:hint="default" w:ascii="Times New Roman Regular" w:hAnsi="Times New Roman Regular" w:eastAsia="仿宋" w:cs="Times New Roman Regular"/>
        </w:rPr>
      </w:pPr>
    </w:p>
    <w:p w14:paraId="0BF94F2B">
      <w:pPr>
        <w:pStyle w:val="3"/>
        <w:widowControl/>
        <w:numPr>
          <w:ilvl w:val="0"/>
          <w:numId w:val="25"/>
        </w:numPr>
        <w:ind w:left="0" w:leftChars="0" w:firstLine="0" w:firstLineChars="0"/>
        <w:rPr>
          <w:rFonts w:hint="default" w:ascii="Times New Roman Regular" w:hAnsi="Times New Roman Regular" w:eastAsia="仿宋" w:cs="Times New Roman Regular"/>
          <w:b w:val="0"/>
        </w:rPr>
      </w:pPr>
      <w:r>
        <w:rPr>
          <w:rFonts w:hint="default" w:ascii="Times New Roman Regular" w:hAnsi="Times New Roman Regular" w:eastAsia="仿宋" w:cs="Times New Roman Regular"/>
        </w:rPr>
        <w:t>比赛提交建议材料</w:t>
      </w:r>
    </w:p>
    <w:p w14:paraId="1777C7E1">
      <w:pPr>
        <w:spacing w:after="0" w:line="276" w:lineRule="auto"/>
        <w:rPr>
          <w:rFonts w:hint="default" w:ascii="Times New Roman Regular" w:hAnsi="Times New Roman Regular" w:eastAsia="仿宋" w:cs="Times New Roman Regular"/>
          <w:b/>
          <w:color w:val="FFFFFF"/>
          <w:sz w:val="20"/>
        </w:rPr>
      </w:pPr>
      <w:r>
        <w:rPr>
          <w:rFonts w:hint="default" w:ascii="Times New Roman Regular" w:hAnsi="Times New Roman Regular" w:eastAsia="仿宋" w:cs="Times New Roman Regular"/>
          <w:b/>
          <w:color w:val="FFFFFF"/>
          <w:sz w:val="20"/>
        </w:rPr>
        <w:br w:type="page"/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6610"/>
        <w:gridCol w:w="2157"/>
      </w:tblGrid>
      <w:tr w14:paraId="2741F372">
        <w:trPr>
          <w:trHeight w:val="0" w:hRule="atLeast"/>
          <w:tblHeader/>
          <w:jc w:val="center"/>
        </w:trPr>
        <w:tc>
          <w:tcPr>
            <w:tcW w:w="158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2FD0338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材料</w:t>
            </w:r>
          </w:p>
        </w:tc>
        <w:tc>
          <w:tcPr>
            <w:tcW w:w="661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003691F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用途</w:t>
            </w:r>
          </w:p>
        </w:tc>
        <w:tc>
          <w:tcPr>
            <w:tcW w:w="215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0215B18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建议状态</w:t>
            </w:r>
          </w:p>
        </w:tc>
      </w:tr>
      <w:tr w14:paraId="4ED2B351">
        <w:trPr>
          <w:trHeight w:val="0" w:hRule="atLeast"/>
          <w:jc w:val="center"/>
        </w:trPr>
        <w:tc>
          <w:tcPr>
            <w:tcW w:w="158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469A02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项目报告</w:t>
            </w:r>
          </w:p>
        </w:tc>
        <w:tc>
          <w:tcPr>
            <w:tcW w:w="661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EC04CA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完整说明项目背景、原理流程、开发过程、关键数据、成果展示、应用评价。</w:t>
            </w:r>
          </w:p>
        </w:tc>
        <w:tc>
          <w:tcPr>
            <w:tcW w:w="215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7107DDE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必须准备 PDF/Word。</w:t>
            </w:r>
          </w:p>
        </w:tc>
      </w:tr>
      <w:tr w14:paraId="21399A0B">
        <w:trPr>
          <w:trHeight w:val="0" w:hRule="atLeast"/>
          <w:jc w:val="center"/>
        </w:trPr>
        <w:tc>
          <w:tcPr>
            <w:tcW w:w="158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BD74E3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系统链接</w:t>
            </w:r>
          </w:p>
        </w:tc>
        <w:tc>
          <w:tcPr>
            <w:tcW w:w="661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E830D9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公网链接用于专家访问，离线包用于现场备用。</w:t>
            </w:r>
          </w:p>
        </w:tc>
        <w:tc>
          <w:tcPr>
            <w:tcW w:w="215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53B657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必须准备。</w:t>
            </w:r>
          </w:p>
        </w:tc>
      </w:tr>
      <w:tr w14:paraId="0612E0C9">
        <w:trPr>
          <w:trHeight w:val="0" w:hRule="atLeast"/>
          <w:jc w:val="center"/>
        </w:trPr>
        <w:tc>
          <w:tcPr>
            <w:tcW w:w="158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33D2C9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演示视频</w:t>
            </w:r>
          </w:p>
        </w:tc>
        <w:tc>
          <w:tcPr>
            <w:tcW w:w="661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FCAC91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3—5分钟录屏 + 旁白 + 字幕，突出系统操作闭环。</w:t>
            </w:r>
          </w:p>
        </w:tc>
        <w:tc>
          <w:tcPr>
            <w:tcW w:w="215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ECA083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必须准备。</w:t>
            </w:r>
          </w:p>
        </w:tc>
      </w:tr>
      <w:tr w14:paraId="1C92FE88">
        <w:trPr>
          <w:trHeight w:val="0" w:hRule="atLeast"/>
          <w:jc w:val="center"/>
        </w:trPr>
        <w:tc>
          <w:tcPr>
            <w:tcW w:w="158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858A0E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答辩 PPT</w:t>
            </w:r>
          </w:p>
        </w:tc>
        <w:tc>
          <w:tcPr>
            <w:tcW w:w="661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DF9CF5E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12—15页，围绕赛道契合、教学痛点、系统架构、核心场景、创新成果展开。</w:t>
            </w:r>
          </w:p>
        </w:tc>
        <w:tc>
          <w:tcPr>
            <w:tcW w:w="215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F5020E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必须准备。</w:t>
            </w:r>
          </w:p>
        </w:tc>
      </w:tr>
      <w:tr w14:paraId="60EBFF0D">
        <w:trPr>
          <w:trHeight w:val="0" w:hRule="atLeast"/>
          <w:jc w:val="center"/>
        </w:trPr>
        <w:tc>
          <w:tcPr>
            <w:tcW w:w="158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285E96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系统使用手册</w:t>
            </w:r>
          </w:p>
        </w:tc>
        <w:tc>
          <w:tcPr>
            <w:tcW w:w="661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C19855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说明系统打开方式、模块操作、演示流程和常见问题。</w:t>
            </w:r>
          </w:p>
        </w:tc>
        <w:tc>
          <w:tcPr>
            <w:tcW w:w="215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0324FA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强烈建议。</w:t>
            </w:r>
          </w:p>
        </w:tc>
      </w:tr>
      <w:tr w14:paraId="43F95A9A">
        <w:trPr>
          <w:trHeight w:val="0" w:hRule="atLeast"/>
          <w:jc w:val="center"/>
        </w:trPr>
        <w:tc>
          <w:tcPr>
            <w:tcW w:w="158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7A50F45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实训任务书</w:t>
            </w:r>
          </w:p>
        </w:tc>
        <w:tc>
          <w:tcPr>
            <w:tcW w:w="661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2D88DB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支撑教师组织课程实训。</w:t>
            </w:r>
          </w:p>
        </w:tc>
        <w:tc>
          <w:tcPr>
            <w:tcW w:w="215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3906D2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强烈建议。</w:t>
            </w:r>
          </w:p>
        </w:tc>
      </w:tr>
      <w:tr w14:paraId="6CD27224">
        <w:trPr>
          <w:trHeight w:val="0" w:hRule="atLeast"/>
          <w:jc w:val="center"/>
        </w:trPr>
        <w:tc>
          <w:tcPr>
            <w:tcW w:w="158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2829EE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实训报告包</w:t>
            </w:r>
          </w:p>
        </w:tc>
        <w:tc>
          <w:tcPr>
            <w:tcW w:w="661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E31A66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支撑学生完成学习成果归档。</w:t>
            </w:r>
          </w:p>
        </w:tc>
        <w:tc>
          <w:tcPr>
            <w:tcW w:w="215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76295F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强烈建议。</w:t>
            </w:r>
          </w:p>
        </w:tc>
      </w:tr>
      <w:tr w14:paraId="493ED30B">
        <w:trPr>
          <w:trHeight w:val="0" w:hRule="atLeast"/>
          <w:jc w:val="center"/>
        </w:trPr>
        <w:tc>
          <w:tcPr>
            <w:tcW w:w="1589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EC528B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评价指标体系</w:t>
            </w:r>
          </w:p>
        </w:tc>
        <w:tc>
          <w:tcPr>
            <w:tcW w:w="6610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5B5185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支撑过程性评价和结果性评价。</w:t>
            </w:r>
          </w:p>
        </w:tc>
        <w:tc>
          <w:tcPr>
            <w:tcW w:w="2157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A37344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强烈建议。</w:t>
            </w:r>
          </w:p>
        </w:tc>
      </w:tr>
    </w:tbl>
    <w:p w14:paraId="471E08EA">
      <w:pPr>
        <w:rPr>
          <w:rFonts w:hint="default" w:ascii="Times New Roman Regular" w:hAnsi="Times New Roman Regular" w:eastAsia="仿宋" w:cs="Times New Roman Regular"/>
        </w:rPr>
      </w:pPr>
    </w:p>
    <w:p w14:paraId="2F7F3E93">
      <w:pPr>
        <w:pStyle w:val="3"/>
        <w:rPr>
          <w:rFonts w:hint="default" w:ascii="Times New Roman Regular" w:hAnsi="Times New Roman Regular" w:eastAsia="仿宋" w:cs="Times New Roman Regular"/>
        </w:rPr>
      </w:pPr>
      <w:r>
        <w:rPr>
          <w:rFonts w:hint="default" w:ascii="Times New Roman Regular" w:hAnsi="Times New Roman Regular" w:eastAsia="仿宋" w:cs="Times New Roman Regular"/>
        </w:rPr>
        <w:t>附录 B：术语说明与讲解口径</w:t>
      </w:r>
    </w:p>
    <w:tbl>
      <w:tblPr>
        <w:tblStyle w:val="33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4852"/>
        <w:gridCol w:w="3916"/>
      </w:tblGrid>
      <w:tr w14:paraId="3F9A57E7">
        <w:trPr>
          <w:trHeight w:val="0" w:hRule="atLeast"/>
          <w:tblHeader/>
          <w:jc w:val="center"/>
        </w:trPr>
        <w:tc>
          <w:tcPr>
            <w:tcW w:w="1588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54C9FB9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术语</w:t>
            </w:r>
          </w:p>
        </w:tc>
        <w:tc>
          <w:tcPr>
            <w:tcW w:w="485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788DD82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解释</w:t>
            </w:r>
          </w:p>
        </w:tc>
        <w:tc>
          <w:tcPr>
            <w:tcW w:w="391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shd w:val="clear" w:color="auto" w:fill="1F4E79"/>
            <w:vAlign w:val="center"/>
          </w:tcPr>
          <w:p w14:paraId="7F542A9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b/>
                <w:sz w:val="20"/>
              </w:rPr>
            </w:pPr>
            <w:r>
              <w:rPr>
                <w:rFonts w:hint="default" w:ascii="Times New Roman Regular" w:hAnsi="Times New Roman Regular" w:eastAsia="仿宋" w:cs="Times New Roman Regular"/>
                <w:b/>
                <w:color w:val="FFFFFF"/>
                <w:sz w:val="20"/>
              </w:rPr>
              <w:t>推荐讲解口径</w:t>
            </w:r>
          </w:p>
        </w:tc>
      </w:tr>
      <w:tr w14:paraId="2E95B24A">
        <w:trPr>
          <w:trHeight w:val="0" w:hRule="atLeast"/>
          <w:jc w:val="center"/>
        </w:trPr>
        <w:tc>
          <w:tcPr>
            <w:tcW w:w="1588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33EF96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数字孪生教学应用</w:t>
            </w:r>
          </w:p>
        </w:tc>
        <w:tc>
          <w:tcPr>
            <w:tcW w:w="485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BE3709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把交通对象、运行状态和控制过程映射为可观察、可操作、可推演的教学场景。</w:t>
            </w:r>
          </w:p>
        </w:tc>
        <w:tc>
          <w:tcPr>
            <w:tcW w:w="391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290699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不是只做 3D 图，而是让数据驱动场景、方案和评价。</w:t>
            </w:r>
          </w:p>
        </w:tc>
      </w:tr>
      <w:tr w14:paraId="5D0FDA27">
        <w:trPr>
          <w:trHeight w:val="0" w:hRule="atLeast"/>
          <w:jc w:val="center"/>
        </w:trPr>
        <w:tc>
          <w:tcPr>
            <w:tcW w:w="1588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C897E3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教学样例数据</w:t>
            </w:r>
          </w:p>
        </w:tc>
        <w:tc>
          <w:tcPr>
            <w:tcW w:w="485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F3825E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用于课堂实训和系统演示的结构化样例数据。</w:t>
            </w:r>
          </w:p>
        </w:tc>
        <w:tc>
          <w:tcPr>
            <w:tcW w:w="391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8FEA51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当前版本用于验证教学流程和系统逻辑，后续可接入真实数据。</w:t>
            </w:r>
          </w:p>
        </w:tc>
      </w:tr>
      <w:tr w14:paraId="4EAFF583">
        <w:trPr>
          <w:trHeight w:val="0" w:hRule="atLeast"/>
          <w:jc w:val="center"/>
        </w:trPr>
        <w:tc>
          <w:tcPr>
            <w:tcW w:w="1588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3BC96B6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3D 数模</w:t>
            </w:r>
          </w:p>
        </w:tc>
        <w:tc>
          <w:tcPr>
            <w:tcW w:w="485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0A4174E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道路、车道、信号、车辆、检测器和事件对象的教学级建模。</w:t>
            </w:r>
          </w:p>
        </w:tc>
        <w:tc>
          <w:tcPr>
            <w:tcW w:w="391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6226FD2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突出对象映射和状态联动，不夸大为城市级真实孪生。</w:t>
            </w:r>
          </w:p>
        </w:tc>
      </w:tr>
      <w:tr w14:paraId="49D9F27A">
        <w:trPr>
          <w:trHeight w:val="0" w:hRule="atLeast"/>
          <w:jc w:val="center"/>
        </w:trPr>
        <w:tc>
          <w:tcPr>
            <w:tcW w:w="1588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48E5CBE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仿真推演</w:t>
            </w:r>
          </w:p>
        </w:tc>
        <w:tc>
          <w:tcPr>
            <w:tcW w:w="485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1CD1E07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对学生方案实施前后的交通指标变化进行模拟和对比。</w:t>
            </w:r>
          </w:p>
        </w:tc>
        <w:tc>
          <w:tcPr>
            <w:tcW w:w="391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9E9317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重点看平均延误、排队长度、拥堵指数、通行效率。</w:t>
            </w:r>
          </w:p>
        </w:tc>
      </w:tr>
      <w:tr w14:paraId="4BC194E5">
        <w:trPr>
          <w:trHeight w:val="0" w:hRule="atLeast"/>
          <w:jc w:val="center"/>
        </w:trPr>
        <w:tc>
          <w:tcPr>
            <w:tcW w:w="1588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D05DD7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评价复盘</w:t>
            </w:r>
          </w:p>
        </w:tc>
        <w:tc>
          <w:tcPr>
            <w:tcW w:w="4852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5E85A9B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把学生操作过程、方案结果和报告质量转化为评价证据。</w:t>
            </w:r>
          </w:p>
        </w:tc>
        <w:tc>
          <w:tcPr>
            <w:tcW w:w="3915" w:type="dxa"/>
            <w:tcBorders>
              <w:top w:val="single" w:color="B7C9D6" w:sz="6" w:space="0"/>
              <w:left w:val="single" w:color="B7C9D6" w:sz="6" w:space="0"/>
              <w:bottom w:val="single" w:color="B7C9D6" w:sz="6" w:space="0"/>
              <w:right w:val="single" w:color="B7C9D6" w:sz="6" w:space="0"/>
            </w:tcBorders>
            <w:vAlign w:val="center"/>
          </w:tcPr>
          <w:p w14:paraId="2832870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 Regular" w:hAnsi="Times New Roman Regular" w:eastAsia="仿宋" w:cs="Times New Roman Regular"/>
                <w:sz w:val="19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19"/>
              </w:rPr>
              <w:t>说明平台能服务教学评价，而不只是展示数据。</w:t>
            </w:r>
          </w:p>
        </w:tc>
      </w:tr>
    </w:tbl>
    <w:p w14:paraId="7B49F205">
      <w:pPr>
        <w:rPr>
          <w:rFonts w:hint="default" w:ascii="Times New Roman Regular" w:hAnsi="Times New Roman Regular" w:eastAsia="仿宋" w:cs="Times New Roman Regular"/>
        </w:rPr>
      </w:pPr>
    </w:p>
    <w:sectPr>
      <w:headerReference r:id="rId5" w:type="default"/>
      <w:footerReference r:id="rId6" w:type="default"/>
      <w:pgSz w:w="12240" w:h="15840"/>
      <w:pgMar w:top="1020" w:right="1049" w:bottom="907" w:left="1049" w:header="454" w:footer="454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FW筑紫A老明朝 简 M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Radam">
    <w:panose1 w:val="00000500000000000000"/>
    <w:charset w:val="00"/>
    <w:family w:val="auto"/>
    <w:pitch w:val="default"/>
    <w:sig w:usb0="00000001" w:usb1="00000000" w:usb2="00000000" w:usb3="00000000" w:csb0="00000001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Tamil MN Regular">
    <w:panose1 w:val="00000500000000000000"/>
    <w:charset w:val="00"/>
    <w:family w:val="auto"/>
    <w:pitch w:val="default"/>
    <w:sig w:usb0="00100001" w:usb1="0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9DF0E">
    <w:pPr>
      <w:pStyle w:val="24"/>
      <w:jc w:val="center"/>
    </w:pPr>
    <w:r>
      <w:rPr>
        <w:sz w:val="18"/>
      </w:rPr>
      <w:t xml:space="preserve">TrafficInsight 智慧交通数字孪生教学平台｜高校科研应用版系统操作手册  ·  第 </w:t>
    </w:r>
    <w:r>
      <w:fldChar w:fldCharType="begin"/>
    </w:r>
    <w:r>
      <w:instrText xml:space="preserve">PAGE</w:instrText>
    </w:r>
    <w:r>
      <w:fldChar w:fldCharType="end"/>
    </w:r>
    <w:r>
      <w:rPr>
        <w:sz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4" w:lineRule="auto"/>
      </w:pPr>
      <w:r>
        <w:separator/>
      </w:r>
    </w:p>
  </w:footnote>
  <w:footnote w:type="continuationSeparator" w:id="1">
    <w:p>
      <w:pPr>
        <w:spacing w:before="0" w:after="0" w:line="32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454FD">
    <w:pPr>
      <w:pStyle w:val="25"/>
      <w:jc w:val="center"/>
    </w:pPr>
    <w:r>
      <w:rPr>
        <w:rFonts w:ascii="微软雅黑" w:hAnsi="微软雅黑" w:eastAsia="微软雅黑"/>
        <w:color w:val="646464"/>
        <w:sz w:val="18"/>
      </w:rPr>
      <w:t>TrafficInsight 智慧交通数字孪生教学平台｜系统操作手册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FB13B2"/>
    <w:multiLevelType w:val="singleLevel"/>
    <w:tmpl w:val="ABFB13B2"/>
    <w:lvl w:ilvl="0" w:tentative="0">
      <w:start w:val="1"/>
      <w:numFmt w:val="decimal"/>
      <w:suff w:val="space"/>
      <w:lvlText w:val="10.%1"/>
      <w:lvlJc w:val="left"/>
      <w:pPr>
        <w:ind w:left="0" w:firstLine="0"/>
      </w:pPr>
      <w:rPr>
        <w:rFonts w:hint="default"/>
      </w:rPr>
    </w:lvl>
  </w:abstractNum>
  <w:abstractNum w:abstractNumId="1">
    <w:nsid w:val="AE7EE9F7"/>
    <w:multiLevelType w:val="singleLevel"/>
    <w:tmpl w:val="AE7EE9F7"/>
    <w:lvl w:ilvl="0" w:tentative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</w:abstractNum>
  <w:abstractNum w:abstractNumId="2">
    <w:nsid w:val="BFF6E494"/>
    <w:multiLevelType w:val="singleLevel"/>
    <w:tmpl w:val="BFF6E494"/>
    <w:lvl w:ilvl="0" w:tentative="0">
      <w:start w:val="1"/>
      <w:numFmt w:val="decimal"/>
      <w:suff w:val="space"/>
      <w:lvlText w:val="12.%1"/>
      <w:lvlJc w:val="left"/>
      <w:pPr>
        <w:ind w:left="0" w:firstLine="0"/>
      </w:pPr>
      <w:rPr>
        <w:rFonts w:hint="default"/>
      </w:rPr>
    </w:lvl>
  </w:abstractNum>
  <w:abstractNum w:abstractNumId="3">
    <w:nsid w:val="DF9D3E6D"/>
    <w:multiLevelType w:val="singleLevel"/>
    <w:tmpl w:val="DF9D3E6D"/>
    <w:lvl w:ilvl="0" w:tentative="0">
      <w:start w:val="1"/>
      <w:numFmt w:val="decimal"/>
      <w:suff w:val="space"/>
      <w:lvlText w:val="18.%1"/>
      <w:lvlJc w:val="left"/>
      <w:pPr>
        <w:ind w:left="0" w:firstLine="0"/>
      </w:pPr>
      <w:rPr>
        <w:rFonts w:hint="default"/>
      </w:rPr>
    </w:lvl>
  </w:abstractNum>
  <w:abstractNum w:abstractNumId="4">
    <w:nsid w:val="DFD661D4"/>
    <w:multiLevelType w:val="singleLevel"/>
    <w:tmpl w:val="DFD661D4"/>
    <w:lvl w:ilvl="0" w:tentative="0">
      <w:start w:val="1"/>
      <w:numFmt w:val="decimal"/>
      <w:suff w:val="space"/>
      <w:lvlText w:val="15.%1"/>
      <w:lvlJc w:val="left"/>
      <w:pPr>
        <w:ind w:left="0" w:firstLine="0"/>
      </w:pPr>
      <w:rPr>
        <w:rFonts w:hint="default"/>
      </w:rPr>
    </w:lvl>
  </w:abstractNum>
  <w:abstractNum w:abstractNumId="5">
    <w:nsid w:val="DFD9B792"/>
    <w:multiLevelType w:val="singleLevel"/>
    <w:tmpl w:val="DFD9B792"/>
    <w:lvl w:ilvl="0" w:tentative="0">
      <w:start w:val="1"/>
      <w:numFmt w:val="decimal"/>
      <w:suff w:val="space"/>
      <w:lvlText w:val="7.%1"/>
      <w:lvlJc w:val="left"/>
      <w:pPr>
        <w:ind w:left="0" w:firstLine="0"/>
      </w:pPr>
      <w:rPr>
        <w:rFonts w:hint="default"/>
      </w:rPr>
    </w:lvl>
  </w:abstractNum>
  <w:abstractNum w:abstractNumId="6">
    <w:nsid w:val="E3DD846C"/>
    <w:multiLevelType w:val="singleLevel"/>
    <w:tmpl w:val="E3DD846C"/>
    <w:lvl w:ilvl="0" w:tentative="0">
      <w:start w:val="1"/>
      <w:numFmt w:val="decimal"/>
      <w:suff w:val="space"/>
      <w:lvlText w:val="11.%1"/>
      <w:lvlJc w:val="left"/>
      <w:pPr>
        <w:ind w:left="0" w:firstLine="0"/>
      </w:pPr>
      <w:rPr>
        <w:rFonts w:hint="default"/>
      </w:rPr>
    </w:lvl>
  </w:abstractNum>
  <w:abstractNum w:abstractNumId="7">
    <w:nsid w:val="EB5EBC8B"/>
    <w:multiLevelType w:val="singleLevel"/>
    <w:tmpl w:val="EB5EBC8B"/>
    <w:lvl w:ilvl="0" w:tentative="0">
      <w:start w:val="1"/>
      <w:numFmt w:val="decimal"/>
      <w:suff w:val="space"/>
      <w:lvlText w:val="9.%1"/>
      <w:lvlJc w:val="left"/>
      <w:pPr>
        <w:ind w:left="0" w:firstLine="0"/>
      </w:pPr>
      <w:rPr>
        <w:rFonts w:hint="default"/>
      </w:rPr>
    </w:lvl>
  </w:abstractNum>
  <w:abstractNum w:abstractNumId="8">
    <w:nsid w:val="EDB9C82F"/>
    <w:multiLevelType w:val="singleLevel"/>
    <w:tmpl w:val="EDB9C82F"/>
    <w:lvl w:ilvl="0" w:tentative="0">
      <w:start w:val="1"/>
      <w:numFmt w:val="decimal"/>
      <w:suff w:val="space"/>
      <w:lvlText w:val="8.%1"/>
      <w:lvlJc w:val="left"/>
      <w:pPr>
        <w:ind w:left="0" w:firstLine="0"/>
      </w:pPr>
      <w:rPr>
        <w:rFonts w:hint="default"/>
      </w:rPr>
    </w:lvl>
  </w:abstractNum>
  <w:abstractNum w:abstractNumId="9">
    <w:nsid w:val="F0D710F5"/>
    <w:multiLevelType w:val="singleLevel"/>
    <w:tmpl w:val="F0D710F5"/>
    <w:lvl w:ilvl="0" w:tentative="0">
      <w:start w:val="1"/>
      <w:numFmt w:val="decimal"/>
      <w:suff w:val="space"/>
      <w:lvlText w:val="4.%1"/>
      <w:lvlJc w:val="left"/>
      <w:pPr>
        <w:ind w:left="0" w:firstLine="0"/>
      </w:pPr>
      <w:rPr>
        <w:rFonts w:hint="default"/>
      </w:rPr>
    </w:lvl>
  </w:abstractNum>
  <w:abstractNum w:abstractNumId="10">
    <w:nsid w:val="F3E9C4F1"/>
    <w:multiLevelType w:val="singleLevel"/>
    <w:tmpl w:val="F3E9C4F1"/>
    <w:lvl w:ilvl="0" w:tentative="0">
      <w:start w:val="1"/>
      <w:numFmt w:val="decimal"/>
      <w:suff w:val="space"/>
      <w:lvlText w:val="A.%1"/>
      <w:lvlJc w:val="left"/>
      <w:pPr>
        <w:ind w:left="0" w:firstLine="0"/>
      </w:pPr>
      <w:rPr>
        <w:rFonts w:hint="default"/>
      </w:rPr>
    </w:lvl>
  </w:abstractNum>
  <w:abstractNum w:abstractNumId="11">
    <w:nsid w:val="FD7A34A6"/>
    <w:multiLevelType w:val="singleLevel"/>
    <w:tmpl w:val="FD7A34A6"/>
    <w:lvl w:ilvl="0" w:tentative="0">
      <w:start w:val="1"/>
      <w:numFmt w:val="decimal"/>
      <w:suff w:val="space"/>
      <w:lvlText w:val="5.%1"/>
      <w:lvlJc w:val="left"/>
      <w:pPr>
        <w:ind w:left="0" w:firstLine="0"/>
      </w:pPr>
      <w:rPr>
        <w:rFonts w:hint="default"/>
      </w:rPr>
    </w:lvl>
  </w:abstractNum>
  <w:abstractNum w:abstractNumId="12">
    <w:nsid w:val="FE7B36FF"/>
    <w:multiLevelType w:val="singleLevel"/>
    <w:tmpl w:val="FE7B36FF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3">
    <w:nsid w:val="FF1E7AEB"/>
    <w:multiLevelType w:val="singleLevel"/>
    <w:tmpl w:val="FF1E7AEB"/>
    <w:lvl w:ilvl="0" w:tentative="0">
      <w:start w:val="1"/>
      <w:numFmt w:val="decimal"/>
      <w:suff w:val="space"/>
      <w:lvlText w:val="1.%1"/>
      <w:lvlJc w:val="left"/>
      <w:pPr>
        <w:ind w:left="0" w:firstLine="0"/>
      </w:pPr>
      <w:rPr>
        <w:rFonts w:hint="default"/>
      </w:rPr>
    </w:lvl>
  </w:abstractNum>
  <w:abstractNum w:abstractNumId="14">
    <w:nsid w:val="FF3D87E8"/>
    <w:multiLevelType w:val="singleLevel"/>
    <w:tmpl w:val="FF3D87E8"/>
    <w:lvl w:ilvl="0" w:tentative="0">
      <w:start w:val="1"/>
      <w:numFmt w:val="decimal"/>
      <w:suff w:val="space"/>
      <w:lvlText w:val="16.%1"/>
      <w:lvlJc w:val="left"/>
      <w:pPr>
        <w:ind w:left="0" w:firstLine="0"/>
      </w:pPr>
      <w:rPr>
        <w:rFonts w:hint="default"/>
      </w:rPr>
    </w:lvl>
  </w:abstractNum>
  <w:abstractNum w:abstractNumId="15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6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17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18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19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20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21">
    <w:nsid w:val="135A68C4"/>
    <w:multiLevelType w:val="singleLevel"/>
    <w:tmpl w:val="135A68C4"/>
    <w:lvl w:ilvl="0" w:tentative="0">
      <w:start w:val="1"/>
      <w:numFmt w:val="decimal"/>
      <w:suff w:val="space"/>
      <w:lvlText w:val="3.%1"/>
      <w:lvlJc w:val="left"/>
      <w:pPr>
        <w:ind w:left="0" w:firstLine="0"/>
      </w:pPr>
      <w:rPr>
        <w:rFonts w:hint="default"/>
      </w:rPr>
    </w:lvl>
  </w:abstractNum>
  <w:abstractNum w:abstractNumId="22">
    <w:nsid w:val="3F62D021"/>
    <w:multiLevelType w:val="singleLevel"/>
    <w:tmpl w:val="3F62D021"/>
    <w:lvl w:ilvl="0" w:tentative="0">
      <w:start w:val="1"/>
      <w:numFmt w:val="decimal"/>
      <w:suff w:val="space"/>
      <w:lvlText w:val="6.%1"/>
      <w:lvlJc w:val="left"/>
      <w:pPr>
        <w:ind w:left="0" w:firstLine="0"/>
      </w:pPr>
      <w:rPr>
        <w:rFonts w:hint="default"/>
      </w:rPr>
    </w:lvl>
  </w:abstractNum>
  <w:abstractNum w:abstractNumId="23">
    <w:nsid w:val="7FEC2FB1"/>
    <w:multiLevelType w:val="singleLevel"/>
    <w:tmpl w:val="7FEC2FB1"/>
    <w:lvl w:ilvl="0" w:tentative="0">
      <w:start w:val="1"/>
      <w:numFmt w:val="decimal"/>
      <w:suff w:val="space"/>
      <w:lvlText w:val="14.%1"/>
      <w:lvlJc w:val="left"/>
      <w:pPr>
        <w:ind w:left="0" w:firstLine="0"/>
      </w:pPr>
      <w:rPr>
        <w:rFonts w:hint="default"/>
      </w:rPr>
    </w:lvl>
  </w:abstractNum>
  <w:abstractNum w:abstractNumId="24">
    <w:nsid w:val="7FF8930D"/>
    <w:multiLevelType w:val="singleLevel"/>
    <w:tmpl w:val="7FF8930D"/>
    <w:lvl w:ilvl="0" w:tentative="0">
      <w:start w:val="1"/>
      <w:numFmt w:val="decimal"/>
      <w:suff w:val="space"/>
      <w:lvlText w:val="13.%1"/>
      <w:lvlJc w:val="left"/>
      <w:pPr>
        <w:ind w:left="0" w:firstLine="0"/>
      </w:pPr>
      <w:rPr>
        <w:rFonts w:hint="default"/>
      </w:rPr>
    </w:lvl>
  </w:abstractNum>
  <w:num w:numId="1">
    <w:abstractNumId w:val="16"/>
  </w:num>
  <w:num w:numId="2">
    <w:abstractNumId w:val="19"/>
  </w:num>
  <w:num w:numId="3">
    <w:abstractNumId w:val="20"/>
  </w:num>
  <w:num w:numId="4">
    <w:abstractNumId w:val="17"/>
  </w:num>
  <w:num w:numId="5">
    <w:abstractNumId w:val="15"/>
  </w:num>
  <w:num w:numId="6">
    <w:abstractNumId w:val="18"/>
  </w:num>
  <w:num w:numId="7">
    <w:abstractNumId w:val="12"/>
  </w:num>
  <w:num w:numId="8">
    <w:abstractNumId w:val="13"/>
  </w:num>
  <w:num w:numId="9">
    <w:abstractNumId w:val="1"/>
  </w:num>
  <w:num w:numId="10">
    <w:abstractNumId w:val="21"/>
  </w:num>
  <w:num w:numId="11">
    <w:abstractNumId w:val="9"/>
  </w:num>
  <w:num w:numId="12">
    <w:abstractNumId w:val="11"/>
  </w:num>
  <w:num w:numId="13">
    <w:abstractNumId w:val="22"/>
  </w:num>
  <w:num w:numId="14">
    <w:abstractNumId w:val="5"/>
  </w:num>
  <w:num w:numId="15">
    <w:abstractNumId w:val="8"/>
  </w:num>
  <w:num w:numId="16">
    <w:abstractNumId w:val="7"/>
  </w:num>
  <w:num w:numId="17">
    <w:abstractNumId w:val="0"/>
  </w:num>
  <w:num w:numId="18">
    <w:abstractNumId w:val="6"/>
  </w:num>
  <w:num w:numId="19">
    <w:abstractNumId w:val="2"/>
  </w:num>
  <w:num w:numId="20">
    <w:abstractNumId w:val="24"/>
  </w:num>
  <w:num w:numId="21">
    <w:abstractNumId w:val="23"/>
  </w:num>
  <w:num w:numId="22">
    <w:abstractNumId w:val="4"/>
  </w:num>
  <w:num w:numId="23">
    <w:abstractNumId w:val="14"/>
  </w:num>
  <w:num w:numId="24">
    <w:abstractNumId w:val="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System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7737E13"/>
    <w:rsid w:val="67DC1A8E"/>
    <w:rsid w:val="7F7FFCB9"/>
    <w:rsid w:val="DB37D735"/>
    <w:rsid w:val="EF7938B0"/>
    <w:rsid w:val="F1EE742E"/>
    <w:rsid w:val="F2FA5D2F"/>
    <w:rsid w:val="F777489F"/>
    <w:rsid w:val="FCEE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00" w:line="324" w:lineRule="auto"/>
    </w:pPr>
    <w:rPr>
      <w:rFonts w:ascii="微软雅黑" w:hAnsi="微软雅黑" w:eastAsia="微软雅黑" w:cstheme="minorBidi"/>
      <w:sz w:val="21"/>
      <w:szCs w:val="22"/>
      <w:lang w:val="en-US" w:eastAsia="en-US" w:bidi="ar-SA"/>
    </w:rPr>
  </w:style>
  <w:style w:type="paragraph" w:styleId="3">
    <w:name w:val="heading 1"/>
    <w:next w:val="1"/>
    <w:link w:val="138"/>
    <w:qFormat/>
    <w:uiPriority w:val="9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4">
    <w:name w:val="heading 2"/>
    <w:next w:val="1"/>
    <w:unhideWhenUsed/>
    <w:qFormat/>
    <w:uiPriority w:val="9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5">
    <w:name w:val="heading 3"/>
    <w:next w:val="1"/>
    <w:unhideWhenUsed/>
    <w:qFormat/>
    <w:uiPriority w:val="9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6">
    <w:name w:val="heading 4"/>
    <w:next w:val="1"/>
    <w:link w:val="150"/>
    <w:semiHidden/>
    <w:unhideWhenUsed/>
    <w:qFormat/>
    <w:uiPriority w:val="9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5"/>
    <w:next w:val="1"/>
    <w:link w:val="151"/>
    <w:semiHidden/>
    <w:unhideWhenUsed/>
    <w:qFormat/>
    <w:uiPriority w:val="9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8">
    <w:name w:val="heading 6"/>
    <w:next w:val="1"/>
    <w:link w:val="152"/>
    <w:semiHidden/>
    <w:unhideWhenUsed/>
    <w:qFormat/>
    <w:uiPriority w:val="9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9">
    <w:name w:val="heading 7"/>
    <w:next w:val="1"/>
    <w:link w:val="153"/>
    <w:semiHidden/>
    <w:unhideWhenUsed/>
    <w:qFormat/>
    <w:uiPriority w:val="9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10">
    <w:name w:val="heading 8"/>
    <w:next w:val="1"/>
    <w:link w:val="154"/>
    <w:semiHidden/>
    <w:unhideWhenUsed/>
    <w:qFormat/>
    <w:uiPriority w:val="9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1">
    <w:name w:val="heading 9"/>
    <w:next w:val="1"/>
    <w:link w:val="155"/>
    <w:semiHidden/>
    <w:unhideWhenUsed/>
    <w:qFormat/>
    <w:uiPriority w:val="9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 New" w:hAnsi="Courier New" w:eastAsia="方正FW筑紫A老明朝 简 M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  <w:rPr>
      <w:rFonts w:ascii="微软雅黑" w:hAnsi="微软雅黑" w:eastAsia="微软雅黑"/>
      <w:sz w:val="21"/>
    </w:r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  <w:rPr>
      <w:rFonts w:ascii="微软雅黑" w:hAnsi="微软雅黑" w:eastAsia="微软雅黑"/>
      <w:sz w:val="21"/>
    </w:r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unhideWhenUsed/>
    <w:uiPriority w:val="99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next w:val="1"/>
    <w:qFormat/>
    <w:uiPriority w:val="11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next w:val="1"/>
    <w:qFormat/>
    <w:uiPriority w:val="1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2E54A1" w:themeColor="accent1" w:themeShade="BF"/>
    </w:rPr>
    <w:tblPr>
      <w:tblBorders>
        <w:top w:val="single" w:color="4874CB" w:themeColor="accent1" w:sz="8" w:space="0"/>
        <w:bottom w:val="single" w:color="4874CB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874CB" w:themeColor="accent1" w:sz="8" w:space="0"/>
          <w:left w:val="nil"/>
          <w:bottom w:val="single" w:color="4874CB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874CB" w:themeColor="accent1" w:sz="8" w:space="0"/>
          <w:left w:val="nil"/>
          <w:bottom w:val="single" w:color="4874CB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C65F10" w:themeColor="accent2" w:themeShade="BF"/>
    </w:rPr>
    <w:tblPr>
      <w:tblBorders>
        <w:top w:val="single" w:color="EE822F" w:themeColor="accent2" w:sz="8" w:space="0"/>
        <w:bottom w:val="single" w:color="EE822F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E822F" w:themeColor="accent2" w:sz="8" w:space="0"/>
          <w:left w:val="nil"/>
          <w:bottom w:val="single" w:color="EE822F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E822F" w:themeColor="accent2" w:sz="8" w:space="0"/>
          <w:left w:val="nil"/>
          <w:bottom w:val="single" w:color="EE822F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0CB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B68C02" w:themeColor="accent3" w:themeShade="BF"/>
    </w:rPr>
    <w:tblPr>
      <w:tblBorders>
        <w:top w:val="single" w:color="F2BA02" w:themeColor="accent3" w:sz="8" w:space="0"/>
        <w:bottom w:val="single" w:color="F2BA02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2BA02" w:themeColor="accent3" w:sz="8" w:space="0"/>
          <w:left w:val="nil"/>
          <w:bottom w:val="single" w:color="F2BA02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2BA02" w:themeColor="accent3" w:sz="8" w:space="0"/>
          <w:left w:val="nil"/>
          <w:bottom w:val="single" w:color="F2BA02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588E32" w:themeColor="accent4" w:themeShade="BF"/>
    </w:rPr>
    <w:tblPr>
      <w:tblBorders>
        <w:top w:val="single" w:color="75BD42" w:themeColor="accent4" w:sz="8" w:space="0"/>
        <w:bottom w:val="single" w:color="75BD4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5BD42" w:themeColor="accent4" w:sz="8" w:space="0"/>
          <w:left w:val="nil"/>
          <w:bottom w:val="single" w:color="75BD4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5BD42" w:themeColor="accent4" w:sz="8" w:space="0"/>
          <w:left w:val="nil"/>
          <w:bottom w:val="single" w:color="75BD4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249087" w:themeColor="accent5" w:themeShade="BF"/>
    </w:rPr>
    <w:tblPr>
      <w:tblBorders>
        <w:top w:val="single" w:color="30C0B4" w:themeColor="accent5" w:sz="8" w:space="0"/>
        <w:bottom w:val="single" w:color="30C0B4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30C0B4" w:themeColor="accent5" w:sz="8" w:space="0"/>
          <w:left w:val="nil"/>
          <w:bottom w:val="single" w:color="30C0B4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30C0B4" w:themeColor="accent5" w:sz="8" w:space="0"/>
          <w:left w:val="nil"/>
          <w:bottom w:val="single" w:color="30C0B4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C81D31" w:themeColor="accent6" w:themeShade="BF"/>
    </w:rPr>
    <w:tblPr>
      <w:tblBorders>
        <w:top w:val="single" w:color="E54C5E" w:themeColor="accent6" w:sz="8" w:space="0"/>
        <w:bottom w:val="single" w:color="E54C5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54C5E" w:themeColor="accent6" w:sz="8" w:space="0"/>
          <w:left w:val="nil"/>
          <w:bottom w:val="single" w:color="E54C5E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54C5E" w:themeColor="accent6" w:sz="8" w:space="0"/>
          <w:left w:val="nil"/>
          <w:bottom w:val="single" w:color="E54C5E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874CB" w:themeColor="accent1" w:sz="8" w:space="0"/>
        <w:left w:val="single" w:color="4874CB" w:themeColor="accent1" w:sz="8" w:space="0"/>
        <w:bottom w:val="single" w:color="4874CB" w:themeColor="accent1" w:sz="8" w:space="0"/>
        <w:right w:val="single" w:color="4874CB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874C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874CB" w:themeColor="accent1" w:sz="6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</w:tcPr>
    </w:tblStylePr>
    <w:tblStylePr w:type="band1Horz"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EE822F" w:themeColor="accent2" w:sz="8" w:space="0"/>
        <w:left w:val="single" w:color="EE822F" w:themeColor="accent2" w:sz="8" w:space="0"/>
        <w:bottom w:val="single" w:color="EE822F" w:themeColor="accent2" w:sz="8" w:space="0"/>
        <w:right w:val="single" w:color="EE822F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E822F" w:themeColor="accent2" w:sz="6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</w:tcPr>
    </w:tblStylePr>
    <w:tblStylePr w:type="band1Horz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F2BA02" w:themeColor="accent3" w:sz="8" w:space="0"/>
        <w:left w:val="single" w:color="F2BA02" w:themeColor="accent3" w:sz="8" w:space="0"/>
        <w:bottom w:val="single" w:color="F2BA02" w:themeColor="accent3" w:sz="8" w:space="0"/>
        <w:right w:val="single" w:color="F2BA02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2BA02" w:themeColor="accent3" w:sz="6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</w:tcPr>
    </w:tblStylePr>
    <w:tblStylePr w:type="band1Horz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75BD42" w:themeColor="accent4" w:sz="8" w:space="0"/>
        <w:left w:val="single" w:color="75BD42" w:themeColor="accent4" w:sz="8" w:space="0"/>
        <w:bottom w:val="single" w:color="75BD42" w:themeColor="accent4" w:sz="8" w:space="0"/>
        <w:right w:val="single" w:color="75BD4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5BD42" w:themeColor="accent4" w:sz="6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</w:tcPr>
    </w:tblStylePr>
    <w:tblStylePr w:type="band1Horz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30C0B4" w:themeColor="accent5" w:sz="8" w:space="0"/>
        <w:left w:val="single" w:color="30C0B4" w:themeColor="accent5" w:sz="8" w:space="0"/>
        <w:bottom w:val="single" w:color="30C0B4" w:themeColor="accent5" w:sz="8" w:space="0"/>
        <w:right w:val="single" w:color="30C0B4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0C0B4" w:themeColor="accent5" w:sz="6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</w:tcPr>
    </w:tblStylePr>
    <w:tblStylePr w:type="band1Horz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E54C5E" w:themeColor="accent6" w:sz="8" w:space="0"/>
        <w:left w:val="single" w:color="E54C5E" w:themeColor="accent6" w:sz="8" w:space="0"/>
        <w:bottom w:val="single" w:color="E54C5E" w:themeColor="accent6" w:sz="8" w:space="0"/>
        <w:right w:val="single" w:color="E54C5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54C5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54C5E" w:themeColor="accent6" w:sz="6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</w:tcBorders>
      </w:tcPr>
    </w:tblStylePr>
    <w:tblStylePr w:type="band1Horz"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874CB" w:themeColor="accent1" w:sz="8" w:space="0"/>
        <w:left w:val="single" w:color="4874CB" w:themeColor="accent1" w:sz="8" w:space="0"/>
        <w:bottom w:val="single" w:color="4874CB" w:themeColor="accent1" w:sz="8" w:space="0"/>
        <w:right w:val="single" w:color="4874CB" w:themeColor="accent1" w:sz="8" w:space="0"/>
        <w:insideH w:val="single" w:color="4874CB" w:themeColor="accent1" w:sz="8" w:space="0"/>
        <w:insideV w:val="single" w:color="4874CB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18" w:space="0"/>
          <w:right w:val="single" w:color="4874CB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874CB" w:themeColor="accent1" w:sz="6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</w:tcPr>
    </w:tblStylePr>
    <w:tblStylePr w:type="band1Vert"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  <w:shd w:val="clear" w:color="auto" w:fill="D1DCF2" w:themeFill="accent1" w:themeFillTint="3F"/>
      </w:tcPr>
    </w:tblStylePr>
    <w:tblStylePr w:type="band1Horz"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  <w:insideV w:val="single" w:sz="8" w:space="0"/>
        </w:tcBorders>
        <w:shd w:val="clear" w:color="auto" w:fill="D1DCF2" w:themeFill="accent1" w:themeFillTint="3F"/>
      </w:tcPr>
    </w:tblStylePr>
    <w:tblStylePr w:type="band2Horz">
      <w:tblPr/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EE822F" w:themeColor="accent2" w:sz="8" w:space="0"/>
        <w:left w:val="single" w:color="EE822F" w:themeColor="accent2" w:sz="8" w:space="0"/>
        <w:bottom w:val="single" w:color="EE822F" w:themeColor="accent2" w:sz="8" w:space="0"/>
        <w:right w:val="single" w:color="EE822F" w:themeColor="accent2" w:sz="8" w:space="0"/>
        <w:insideH w:val="single" w:color="EE822F" w:themeColor="accent2" w:sz="8" w:space="0"/>
        <w:insideV w:val="single" w:color="EE822F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18" w:space="0"/>
          <w:right w:val="single" w:color="EE822F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E822F" w:themeColor="accent2" w:sz="6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</w:tcPr>
    </w:tblStylePr>
    <w:tblStylePr w:type="band1Vert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</w:tcBorders>
        <w:shd w:val="clear" w:color="auto" w:fill="FAE0CB" w:themeFill="accent2" w:themeFillTint="3F"/>
      </w:tcPr>
    </w:tblStylePr>
    <w:tblStylePr w:type="band1Horz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  <w:insideV w:val="single" w:sz="8" w:space="0"/>
        </w:tcBorders>
        <w:shd w:val="clear" w:color="auto" w:fill="FAE0CB" w:themeFill="accent2" w:themeFillTint="3F"/>
      </w:tcPr>
    </w:tblStylePr>
    <w:tblStylePr w:type="band2Horz">
      <w:tblPr/>
      <w:tcPr>
        <w:tcBorders>
          <w:top w:val="single" w:color="EE822F" w:themeColor="accent2" w:sz="8" w:space="0"/>
          <w:left w:val="single" w:color="EE822F" w:themeColor="accent2" w:sz="8" w:space="0"/>
          <w:bottom w:val="single" w:color="EE822F" w:themeColor="accent2" w:sz="8" w:space="0"/>
          <w:right w:val="single" w:color="EE822F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F2BA02" w:themeColor="accent3" w:sz="8" w:space="0"/>
        <w:left w:val="single" w:color="F2BA02" w:themeColor="accent3" w:sz="8" w:space="0"/>
        <w:bottom w:val="single" w:color="F2BA02" w:themeColor="accent3" w:sz="8" w:space="0"/>
        <w:right w:val="single" w:color="F2BA02" w:themeColor="accent3" w:sz="8" w:space="0"/>
        <w:insideH w:val="single" w:color="F2BA02" w:themeColor="accent3" w:sz="8" w:space="0"/>
        <w:insideV w:val="single" w:color="F2BA02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18" w:space="0"/>
          <w:right w:val="single" w:color="F2BA02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2BA02" w:themeColor="accent3" w:sz="6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</w:tcPr>
    </w:tblStylePr>
    <w:tblStylePr w:type="band1Vert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</w:tcBorders>
        <w:shd w:val="clear" w:color="auto" w:fill="FEEFBD" w:themeFill="accent3" w:themeFillTint="3F"/>
      </w:tcPr>
    </w:tblStylePr>
    <w:tblStylePr w:type="band1Horz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  <w:insideV w:val="single" w:sz="8" w:space="0"/>
        </w:tcBorders>
        <w:shd w:val="clear" w:color="auto" w:fill="FEEFBD" w:themeFill="accent3" w:themeFillTint="3F"/>
      </w:tcPr>
    </w:tblStylePr>
    <w:tblStylePr w:type="band2Horz">
      <w:tblPr/>
      <w:tcPr>
        <w:tcBorders>
          <w:top w:val="single" w:color="F2BA02" w:themeColor="accent3" w:sz="8" w:space="0"/>
          <w:left w:val="single" w:color="F2BA02" w:themeColor="accent3" w:sz="8" w:space="0"/>
          <w:bottom w:val="single" w:color="F2BA02" w:themeColor="accent3" w:sz="8" w:space="0"/>
          <w:right w:val="single" w:color="F2BA02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75BD42" w:themeColor="accent4" w:sz="8" w:space="0"/>
        <w:left w:val="single" w:color="75BD42" w:themeColor="accent4" w:sz="8" w:space="0"/>
        <w:bottom w:val="single" w:color="75BD42" w:themeColor="accent4" w:sz="8" w:space="0"/>
        <w:right w:val="single" w:color="75BD42" w:themeColor="accent4" w:sz="8" w:space="0"/>
        <w:insideH w:val="single" w:color="75BD42" w:themeColor="accent4" w:sz="8" w:space="0"/>
        <w:insideV w:val="single" w:color="75BD4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18" w:space="0"/>
          <w:right w:val="single" w:color="75BD4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5BD42" w:themeColor="accent4" w:sz="6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</w:tcPr>
    </w:tblStylePr>
    <w:tblStylePr w:type="band1Vert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</w:tcBorders>
        <w:shd w:val="clear" w:color="auto" w:fill="DCEED0" w:themeFill="accent4" w:themeFillTint="3F"/>
      </w:tcPr>
    </w:tblStylePr>
    <w:tblStylePr w:type="band1Horz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  <w:insideV w:val="single" w:sz="8" w:space="0"/>
        </w:tcBorders>
        <w:shd w:val="clear" w:color="auto" w:fill="DCEED0" w:themeFill="accent4" w:themeFillTint="3F"/>
      </w:tcPr>
    </w:tblStylePr>
    <w:tblStylePr w:type="band2Horz">
      <w:tblPr/>
      <w:tcPr>
        <w:tcBorders>
          <w:top w:val="single" w:color="75BD42" w:themeColor="accent4" w:sz="8" w:space="0"/>
          <w:left w:val="single" w:color="75BD42" w:themeColor="accent4" w:sz="8" w:space="0"/>
          <w:bottom w:val="single" w:color="75BD42" w:themeColor="accent4" w:sz="8" w:space="0"/>
          <w:right w:val="single" w:color="75BD4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30C0B4" w:themeColor="accent5" w:sz="8" w:space="0"/>
        <w:left w:val="single" w:color="30C0B4" w:themeColor="accent5" w:sz="8" w:space="0"/>
        <w:bottom w:val="single" w:color="30C0B4" w:themeColor="accent5" w:sz="8" w:space="0"/>
        <w:right w:val="single" w:color="30C0B4" w:themeColor="accent5" w:sz="8" w:space="0"/>
        <w:insideH w:val="single" w:color="30C0B4" w:themeColor="accent5" w:sz="8" w:space="0"/>
        <w:insideV w:val="single" w:color="30C0B4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18" w:space="0"/>
          <w:right w:val="single" w:color="30C0B4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30C0B4" w:themeColor="accent5" w:sz="6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</w:tcPr>
    </w:tblStylePr>
    <w:tblStylePr w:type="band1Vert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</w:tcBorders>
        <w:shd w:val="clear" w:color="auto" w:fill="C9F1EE" w:themeFill="accent5" w:themeFillTint="3F"/>
      </w:tcPr>
    </w:tblStylePr>
    <w:tblStylePr w:type="band1Horz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  <w:insideV w:val="single" w:sz="8" w:space="0"/>
        </w:tcBorders>
        <w:shd w:val="clear" w:color="auto" w:fill="C9F1EE" w:themeFill="accent5" w:themeFillTint="3F"/>
      </w:tcPr>
    </w:tblStylePr>
    <w:tblStylePr w:type="band2Horz">
      <w:tblPr/>
      <w:tcPr>
        <w:tcBorders>
          <w:top w:val="single" w:color="30C0B4" w:themeColor="accent5" w:sz="8" w:space="0"/>
          <w:left w:val="single" w:color="30C0B4" w:themeColor="accent5" w:sz="8" w:space="0"/>
          <w:bottom w:val="single" w:color="30C0B4" w:themeColor="accent5" w:sz="8" w:space="0"/>
          <w:right w:val="single" w:color="30C0B4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E54C5E" w:themeColor="accent6" w:sz="8" w:space="0"/>
        <w:left w:val="single" w:color="E54C5E" w:themeColor="accent6" w:sz="8" w:space="0"/>
        <w:bottom w:val="single" w:color="E54C5E" w:themeColor="accent6" w:sz="8" w:space="0"/>
        <w:right w:val="single" w:color="E54C5E" w:themeColor="accent6" w:sz="8" w:space="0"/>
        <w:insideH w:val="single" w:color="E54C5E" w:themeColor="accent6" w:sz="8" w:space="0"/>
        <w:insideV w:val="single" w:color="E54C5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18" w:space="0"/>
          <w:right w:val="single" w:color="E54C5E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54C5E" w:themeColor="accent6" w:sz="6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</w:tcBorders>
      </w:tcPr>
    </w:tblStylePr>
    <w:tblStylePr w:type="band1Vert"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</w:tcBorders>
        <w:shd w:val="clear" w:color="auto" w:fill="F8D2D7" w:themeFill="accent6" w:themeFillTint="3F"/>
      </w:tcPr>
    </w:tblStylePr>
    <w:tblStylePr w:type="band1Horz"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  <w:insideV w:val="single" w:sz="8" w:space="0"/>
        </w:tcBorders>
        <w:shd w:val="clear" w:color="auto" w:fill="F8D2D7" w:themeFill="accent6" w:themeFillTint="3F"/>
      </w:tcPr>
    </w:tblStylePr>
    <w:tblStylePr w:type="band2Horz">
      <w:tblPr/>
      <w:tcPr>
        <w:tcBorders>
          <w:top w:val="single" w:color="E54C5E" w:themeColor="accent6" w:sz="8" w:space="0"/>
          <w:left w:val="single" w:color="E54C5E" w:themeColor="accent6" w:sz="8" w:space="0"/>
          <w:bottom w:val="single" w:color="E54C5E" w:themeColor="accent6" w:sz="8" w:space="0"/>
          <w:right w:val="single" w:color="E54C5E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596D8" w:themeColor="accent1" w:themeTint="BF" w:sz="8" w:space="0"/>
        <w:left w:val="single" w:color="7596D8" w:themeColor="accent1" w:themeTint="BF" w:sz="8" w:space="0"/>
        <w:bottom w:val="single" w:color="7596D8" w:themeColor="accent1" w:themeTint="BF" w:sz="8" w:space="0"/>
        <w:right w:val="single" w:color="7596D8" w:themeColor="accent1" w:themeTint="BF" w:sz="8" w:space="0"/>
        <w:insideH w:val="single" w:color="7596D8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596D8" w:themeColor="accent1" w:themeTint="BF" w:sz="8" w:space="0"/>
          <w:left w:val="single" w:color="7596D8" w:themeColor="accent1" w:themeTint="BF" w:sz="8" w:space="0"/>
          <w:bottom w:val="single" w:color="7596D8" w:themeColor="accent1" w:themeTint="BF" w:sz="8" w:space="0"/>
          <w:right w:val="single" w:color="7596D8" w:themeColor="accent1" w:themeTint="BF" w:sz="8" w:space="0"/>
          <w:insideH w:val="nil"/>
          <w:insideV w:val="nil"/>
        </w:tcBorders>
        <w:shd w:val="clear" w:color="auto" w:fill="4874C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596D8" w:themeColor="accent1" w:themeTint="BF" w:sz="6" w:space="0"/>
          <w:left w:val="single" w:color="7596D8" w:themeColor="accent1" w:themeTint="BF" w:sz="8" w:space="0"/>
          <w:bottom w:val="single" w:color="7596D8" w:themeColor="accent1" w:themeTint="BF" w:sz="8" w:space="0"/>
          <w:right w:val="single" w:color="7596D8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C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C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F2A163" w:themeColor="accent2" w:themeTint="BF" w:sz="8" w:space="0"/>
        <w:left w:val="single" w:color="F2A163" w:themeColor="accent2" w:themeTint="BF" w:sz="8" w:space="0"/>
        <w:bottom w:val="single" w:color="F2A163" w:themeColor="accent2" w:themeTint="BF" w:sz="8" w:space="0"/>
        <w:right w:val="single" w:color="F2A163" w:themeColor="accent2" w:themeTint="BF" w:sz="8" w:space="0"/>
        <w:insideH w:val="single" w:color="F2A163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2A163" w:themeColor="accent2" w:themeTint="BF" w:sz="8" w:space="0"/>
          <w:left w:val="single" w:color="F2A163" w:themeColor="accent2" w:themeTint="BF" w:sz="8" w:space="0"/>
          <w:bottom w:val="single" w:color="F2A163" w:themeColor="accent2" w:themeTint="BF" w:sz="8" w:space="0"/>
          <w:right w:val="single" w:color="F2A163" w:themeColor="accent2" w:themeTint="BF" w:sz="8" w:space="0"/>
          <w:insideH w:val="nil"/>
          <w:insideV w:val="nil"/>
        </w:tcBorders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2A163" w:themeColor="accent2" w:themeTint="BF" w:sz="6" w:space="0"/>
          <w:left w:val="single" w:color="F2A163" w:themeColor="accent2" w:themeTint="BF" w:sz="8" w:space="0"/>
          <w:bottom w:val="single" w:color="F2A163" w:themeColor="accent2" w:themeTint="BF" w:sz="8" w:space="0"/>
          <w:right w:val="single" w:color="F2A163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0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FDCF39" w:themeColor="accent3" w:themeTint="BF" w:sz="8" w:space="0"/>
        <w:left w:val="single" w:color="FDCF39" w:themeColor="accent3" w:themeTint="BF" w:sz="8" w:space="0"/>
        <w:bottom w:val="single" w:color="FDCF39" w:themeColor="accent3" w:themeTint="BF" w:sz="8" w:space="0"/>
        <w:right w:val="single" w:color="FDCF39" w:themeColor="accent3" w:themeTint="BF" w:sz="8" w:space="0"/>
        <w:insideH w:val="single" w:color="FDCF39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DCF39" w:themeColor="accent3" w:themeTint="BF" w:sz="8" w:space="0"/>
          <w:left w:val="single" w:color="FDCF39" w:themeColor="accent3" w:themeTint="BF" w:sz="8" w:space="0"/>
          <w:bottom w:val="single" w:color="FDCF39" w:themeColor="accent3" w:themeTint="BF" w:sz="8" w:space="0"/>
          <w:right w:val="single" w:color="FDCF39" w:themeColor="accent3" w:themeTint="BF" w:sz="8" w:space="0"/>
          <w:insideH w:val="nil"/>
          <w:insideV w:val="nil"/>
        </w:tcBorders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DCF39" w:themeColor="accent3" w:themeTint="BF" w:sz="6" w:space="0"/>
          <w:left w:val="single" w:color="FDCF39" w:themeColor="accent3" w:themeTint="BF" w:sz="8" w:space="0"/>
          <w:bottom w:val="single" w:color="FDCF39" w:themeColor="accent3" w:themeTint="BF" w:sz="8" w:space="0"/>
          <w:right w:val="single" w:color="FDCF39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F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7CD71" w:themeColor="accent4" w:themeTint="BF" w:sz="8" w:space="0"/>
        <w:left w:val="single" w:color="97CD71" w:themeColor="accent4" w:themeTint="BF" w:sz="8" w:space="0"/>
        <w:bottom w:val="single" w:color="97CD71" w:themeColor="accent4" w:themeTint="BF" w:sz="8" w:space="0"/>
        <w:right w:val="single" w:color="97CD71" w:themeColor="accent4" w:themeTint="BF" w:sz="8" w:space="0"/>
        <w:insideH w:val="single" w:color="97CD71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7CD71" w:themeColor="accent4" w:themeTint="BF" w:sz="8" w:space="0"/>
          <w:left w:val="single" w:color="97CD71" w:themeColor="accent4" w:themeTint="BF" w:sz="8" w:space="0"/>
          <w:bottom w:val="single" w:color="97CD71" w:themeColor="accent4" w:themeTint="BF" w:sz="8" w:space="0"/>
          <w:right w:val="single" w:color="97CD71" w:themeColor="accent4" w:themeTint="BF" w:sz="8" w:space="0"/>
          <w:insideH w:val="nil"/>
          <w:insideV w:val="nil"/>
        </w:tcBorders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7CD71" w:themeColor="accent4" w:themeTint="BF" w:sz="6" w:space="0"/>
          <w:left w:val="single" w:color="97CD71" w:themeColor="accent4" w:themeTint="BF" w:sz="8" w:space="0"/>
          <w:bottom w:val="single" w:color="97CD71" w:themeColor="accent4" w:themeTint="BF" w:sz="8" w:space="0"/>
          <w:right w:val="single" w:color="97CD71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D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D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5DD6CC" w:themeColor="accent5" w:themeTint="BF" w:sz="8" w:space="0"/>
        <w:left w:val="single" w:color="5DD6CC" w:themeColor="accent5" w:themeTint="BF" w:sz="8" w:space="0"/>
        <w:bottom w:val="single" w:color="5DD6CC" w:themeColor="accent5" w:themeTint="BF" w:sz="8" w:space="0"/>
        <w:right w:val="single" w:color="5DD6CC" w:themeColor="accent5" w:themeTint="BF" w:sz="8" w:space="0"/>
        <w:insideH w:val="single" w:color="5DD6CC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5DD6CC" w:themeColor="accent5" w:themeTint="BF" w:sz="8" w:space="0"/>
          <w:left w:val="single" w:color="5DD6CC" w:themeColor="accent5" w:themeTint="BF" w:sz="8" w:space="0"/>
          <w:bottom w:val="single" w:color="5DD6CC" w:themeColor="accent5" w:themeTint="BF" w:sz="8" w:space="0"/>
          <w:right w:val="single" w:color="5DD6CC" w:themeColor="accent5" w:themeTint="BF" w:sz="8" w:space="0"/>
          <w:insideH w:val="nil"/>
          <w:insideV w:val="nil"/>
        </w:tcBorders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DD6CC" w:themeColor="accent5" w:themeTint="BF" w:sz="6" w:space="0"/>
          <w:left w:val="single" w:color="5DD6CC" w:themeColor="accent5" w:themeTint="BF" w:sz="8" w:space="0"/>
          <w:bottom w:val="single" w:color="5DD6CC" w:themeColor="accent5" w:themeTint="BF" w:sz="8" w:space="0"/>
          <w:right w:val="single" w:color="5DD6CC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1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EB7886" w:themeColor="accent6" w:themeTint="BF" w:sz="8" w:space="0"/>
        <w:left w:val="single" w:color="EB7886" w:themeColor="accent6" w:themeTint="BF" w:sz="8" w:space="0"/>
        <w:bottom w:val="single" w:color="EB7886" w:themeColor="accent6" w:themeTint="BF" w:sz="8" w:space="0"/>
        <w:right w:val="single" w:color="EB7886" w:themeColor="accent6" w:themeTint="BF" w:sz="8" w:space="0"/>
        <w:insideH w:val="single" w:color="EB7886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EB7886" w:themeColor="accent6" w:themeTint="BF" w:sz="8" w:space="0"/>
          <w:left w:val="single" w:color="EB7886" w:themeColor="accent6" w:themeTint="BF" w:sz="8" w:space="0"/>
          <w:bottom w:val="single" w:color="EB7886" w:themeColor="accent6" w:themeTint="BF" w:sz="8" w:space="0"/>
          <w:right w:val="single" w:color="EB7886" w:themeColor="accent6" w:themeTint="BF" w:sz="8" w:space="0"/>
          <w:insideH w:val="nil"/>
          <w:insideV w:val="nil"/>
        </w:tcBorders>
        <w:shd w:val="clear" w:color="auto" w:fill="E54C5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B7886" w:themeColor="accent6" w:themeTint="BF" w:sz="6" w:space="0"/>
          <w:left w:val="single" w:color="EB7886" w:themeColor="accent6" w:themeTint="BF" w:sz="8" w:space="0"/>
          <w:bottom w:val="single" w:color="EB7886" w:themeColor="accent6" w:themeTint="BF" w:sz="8" w:space="0"/>
          <w:right w:val="single" w:color="EB788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2D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2D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874C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874CB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874C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E822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E822F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822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2BA0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2BA02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BA0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5BD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5BD4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30C0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30C0B4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0C0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54C5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54C5E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54C5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874CB" w:themeColor="accent1" w:sz="8" w:space="0"/>
        <w:bottom w:val="single" w:color="4874CB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874CB" w:themeColor="accent1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4874CB" w:themeColor="accent1" w:sz="8" w:space="0"/>
          <w:bottom w:val="single" w:color="4874CB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874CB" w:themeColor="accent1" w:sz="8" w:space="0"/>
          <w:bottom w:val="single" w:color="4874CB" w:themeColor="accent1" w:sz="8" w:space="0"/>
        </w:tcBorders>
      </w:tcPr>
    </w:tblStylePr>
    <w:tblStylePr w:type="band1Vert">
      <w:tblPr/>
      <w:tcPr>
        <w:shd w:val="clear" w:color="auto" w:fill="D1DCF2" w:themeFill="accent1" w:themeFillTint="3F"/>
      </w:tcPr>
    </w:tblStylePr>
    <w:tblStylePr w:type="band1Horz">
      <w:tblPr/>
      <w:tcPr>
        <w:shd w:val="clear" w:color="auto" w:fill="D1DCF2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8" w:space="0"/>
        <w:bottom w:val="single" w:color="EE822F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E822F" w:themeColor="accent2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EE822F" w:themeColor="accent2" w:sz="8" w:space="0"/>
          <w:bottom w:val="single" w:color="EE822F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E822F" w:themeColor="accent2" w:sz="8" w:space="0"/>
          <w:bottom w:val="single" w:color="EE822F" w:themeColor="accent2" w:sz="8" w:space="0"/>
        </w:tcBorders>
      </w:tcPr>
    </w:tblStylePr>
    <w:tblStylePr w:type="band1Vert">
      <w:tblPr/>
      <w:tcPr>
        <w:shd w:val="clear" w:color="auto" w:fill="FAE0CB" w:themeFill="accent2" w:themeFillTint="3F"/>
      </w:tcPr>
    </w:tblStylePr>
    <w:tblStylePr w:type="band1Horz">
      <w:tblPr/>
      <w:tcPr>
        <w:shd w:val="clear" w:color="auto" w:fill="FAE0CB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2BA02" w:themeColor="accent3" w:sz="8" w:space="0"/>
        <w:bottom w:val="single" w:color="F2BA02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2BA02" w:themeColor="accent3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F2BA02" w:themeColor="accent3" w:sz="8" w:space="0"/>
          <w:bottom w:val="single" w:color="F2BA02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2BA02" w:themeColor="accent3" w:sz="8" w:space="0"/>
          <w:bottom w:val="single" w:color="F2BA02" w:themeColor="accent3" w:sz="8" w:space="0"/>
        </w:tcBorders>
      </w:tcPr>
    </w:tblStylePr>
    <w:tblStylePr w:type="band1Vert">
      <w:tblPr/>
      <w:tcPr>
        <w:shd w:val="clear" w:color="auto" w:fill="FEEFBD" w:themeFill="accent3" w:themeFillTint="3F"/>
      </w:tcPr>
    </w:tblStylePr>
    <w:tblStylePr w:type="band1Horz">
      <w:tblPr/>
      <w:tcPr>
        <w:shd w:val="clear" w:color="auto" w:fill="FEEFBD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75BD42" w:themeColor="accent4" w:sz="8" w:space="0"/>
        <w:bottom w:val="single" w:color="75BD4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5BD42" w:themeColor="accent4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75BD42" w:themeColor="accent4" w:sz="8" w:space="0"/>
          <w:bottom w:val="single" w:color="75BD4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5BD42" w:themeColor="accent4" w:sz="8" w:space="0"/>
          <w:bottom w:val="single" w:color="75BD42" w:themeColor="accent4" w:sz="8" w:space="0"/>
        </w:tcBorders>
      </w:tcPr>
    </w:tblStylePr>
    <w:tblStylePr w:type="band1Vert">
      <w:tblPr/>
      <w:tcPr>
        <w:shd w:val="clear" w:color="auto" w:fill="DCEED0" w:themeFill="accent4" w:themeFillTint="3F"/>
      </w:tcPr>
    </w:tblStylePr>
    <w:tblStylePr w:type="band1Horz">
      <w:tblPr/>
      <w:tcPr>
        <w:shd w:val="clear" w:color="auto" w:fill="DCEED0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30C0B4" w:themeColor="accent5" w:sz="8" w:space="0"/>
        <w:bottom w:val="single" w:color="30C0B4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30C0B4" w:themeColor="accent5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30C0B4" w:themeColor="accent5" w:sz="8" w:space="0"/>
          <w:bottom w:val="single" w:color="30C0B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30C0B4" w:themeColor="accent5" w:sz="8" w:space="0"/>
          <w:bottom w:val="single" w:color="30C0B4" w:themeColor="accent5" w:sz="8" w:space="0"/>
        </w:tcBorders>
      </w:tcPr>
    </w:tblStylePr>
    <w:tblStylePr w:type="band1Vert">
      <w:tblPr/>
      <w:tcPr>
        <w:shd w:val="clear" w:color="auto" w:fill="C9F1EE" w:themeFill="accent5" w:themeFillTint="3F"/>
      </w:tcPr>
    </w:tblStylePr>
    <w:tblStylePr w:type="band1Horz">
      <w:tblPr/>
      <w:tcPr>
        <w:shd w:val="clear" w:color="auto" w:fill="C9F1EE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54C5E" w:themeColor="accent6" w:sz="8" w:space="0"/>
        <w:bottom w:val="single" w:color="E54C5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54C5E" w:themeColor="accent6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E54C5E" w:themeColor="accent6" w:sz="8" w:space="0"/>
          <w:bottom w:val="single" w:color="E54C5E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54C5E" w:themeColor="accent6" w:sz="8" w:space="0"/>
          <w:bottom w:val="single" w:color="E54C5E" w:themeColor="accent6" w:sz="8" w:space="0"/>
        </w:tcBorders>
      </w:tcPr>
    </w:tblStylePr>
    <w:tblStylePr w:type="band1Vert">
      <w:tblPr/>
      <w:tcPr>
        <w:shd w:val="clear" w:color="auto" w:fill="F8D2D7" w:themeFill="accent6" w:themeFillTint="3F"/>
      </w:tcPr>
    </w:tblStylePr>
    <w:tblStylePr w:type="band1Horz">
      <w:tblPr/>
      <w:tcPr>
        <w:shd w:val="clear" w:color="auto" w:fill="F8D2D7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eastAsia="Radam" w:asciiTheme="majorHAnsi" w:hAnsiTheme="majorHAnsi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eastAsia="Radam" w:asciiTheme="majorHAnsi" w:hAnsiTheme="majorHAnsi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874CB" w:themeColor="accent1" w:sz="8" w:space="0"/>
        <w:left w:val="single" w:color="4874CB" w:themeColor="accent1" w:sz="8" w:space="0"/>
        <w:bottom w:val="single" w:color="4874CB" w:themeColor="accent1" w:sz="8" w:space="0"/>
        <w:right w:val="single" w:color="4874CB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874CB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874CB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874CB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874CB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C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eastAsia="Radam" w:asciiTheme="majorHAnsi" w:hAnsiTheme="majorHAnsi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8" w:space="0"/>
        <w:left w:val="single" w:color="EE822F" w:themeColor="accent2" w:sz="8" w:space="0"/>
        <w:bottom w:val="single" w:color="EE822F" w:themeColor="accent2" w:sz="8" w:space="0"/>
        <w:right w:val="single" w:color="EE822F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E822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E822F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E822F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E822F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0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eastAsia="Radam" w:asciiTheme="majorHAnsi" w:hAnsiTheme="majorHAnsi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2BA02" w:themeColor="accent3" w:sz="8" w:space="0"/>
        <w:left w:val="single" w:color="F2BA02" w:themeColor="accent3" w:sz="8" w:space="0"/>
        <w:bottom w:val="single" w:color="F2BA02" w:themeColor="accent3" w:sz="8" w:space="0"/>
        <w:right w:val="single" w:color="F2BA02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2BA02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2BA02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2BA02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2BA02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F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eastAsia="Radam" w:asciiTheme="majorHAnsi" w:hAnsiTheme="majorHAnsi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75BD42" w:themeColor="accent4" w:sz="8" w:space="0"/>
        <w:left w:val="single" w:color="75BD42" w:themeColor="accent4" w:sz="8" w:space="0"/>
        <w:bottom w:val="single" w:color="75BD42" w:themeColor="accent4" w:sz="8" w:space="0"/>
        <w:right w:val="single" w:color="75BD4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5BD4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75BD4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5BD4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5BD4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D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eastAsia="Radam" w:asciiTheme="majorHAnsi" w:hAnsiTheme="majorHAnsi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30C0B4" w:themeColor="accent5" w:sz="8" w:space="0"/>
        <w:left w:val="single" w:color="30C0B4" w:themeColor="accent5" w:sz="8" w:space="0"/>
        <w:bottom w:val="single" w:color="30C0B4" w:themeColor="accent5" w:sz="8" w:space="0"/>
        <w:right w:val="single" w:color="30C0B4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30C0B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30C0B4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30C0B4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30C0B4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1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eastAsia="Radam" w:asciiTheme="majorHAnsi" w:hAnsiTheme="majorHAnsi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54C5E" w:themeColor="accent6" w:sz="8" w:space="0"/>
        <w:left w:val="single" w:color="E54C5E" w:themeColor="accent6" w:sz="8" w:space="0"/>
        <w:bottom w:val="single" w:color="E54C5E" w:themeColor="accent6" w:sz="8" w:space="0"/>
        <w:right w:val="single" w:color="E54C5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54C5E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54C5E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54C5E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54C5E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2D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596D8" w:themeColor="accent1" w:themeTint="BF" w:sz="8" w:space="0"/>
        <w:left w:val="single" w:color="7596D8" w:themeColor="accent1" w:themeTint="BF" w:sz="8" w:space="0"/>
        <w:bottom w:val="single" w:color="7596D8" w:themeColor="accent1" w:themeTint="BF" w:sz="8" w:space="0"/>
        <w:right w:val="single" w:color="7596D8" w:themeColor="accent1" w:themeTint="BF" w:sz="8" w:space="0"/>
        <w:insideH w:val="single" w:color="7596D8" w:themeColor="accent1" w:themeTint="BF" w:sz="8" w:space="0"/>
        <w:insideV w:val="single" w:color="7596D8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DC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596D8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B9E5" w:themeFill="accent1" w:themeFillTint="7F"/>
      </w:tcPr>
    </w:tblStylePr>
    <w:tblStylePr w:type="band1Horz">
      <w:tblPr/>
      <w:tcPr>
        <w:shd w:val="clear" w:color="auto" w:fill="A3B9E5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F2A163" w:themeColor="accent2" w:themeTint="BF" w:sz="8" w:space="0"/>
        <w:left w:val="single" w:color="F2A163" w:themeColor="accent2" w:themeTint="BF" w:sz="8" w:space="0"/>
        <w:bottom w:val="single" w:color="F2A163" w:themeColor="accent2" w:themeTint="BF" w:sz="8" w:space="0"/>
        <w:right w:val="single" w:color="F2A163" w:themeColor="accent2" w:themeTint="BF" w:sz="8" w:space="0"/>
        <w:insideH w:val="single" w:color="F2A163" w:themeColor="accent2" w:themeTint="BF" w:sz="8" w:space="0"/>
        <w:insideV w:val="single" w:color="F2A163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0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2A163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shd w:val="clear" w:color="auto" w:fill="F6C097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FDCF39" w:themeColor="accent3" w:themeTint="BF" w:sz="8" w:space="0"/>
        <w:left w:val="single" w:color="FDCF39" w:themeColor="accent3" w:themeTint="BF" w:sz="8" w:space="0"/>
        <w:bottom w:val="single" w:color="FDCF39" w:themeColor="accent3" w:themeTint="BF" w:sz="8" w:space="0"/>
        <w:right w:val="single" w:color="FDCF39" w:themeColor="accent3" w:themeTint="BF" w:sz="8" w:space="0"/>
        <w:insideH w:val="single" w:color="FDCF39" w:themeColor="accent3" w:themeTint="BF" w:sz="8" w:space="0"/>
        <w:insideV w:val="single" w:color="FDCF39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F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DCF39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7B" w:themeFill="accent3" w:themeFillTint="7F"/>
      </w:tcPr>
    </w:tblStylePr>
    <w:tblStylePr w:type="band1Horz">
      <w:tblPr/>
      <w:tcPr>
        <w:shd w:val="clear" w:color="auto" w:fill="FDDF7B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7CD71" w:themeColor="accent4" w:themeTint="BF" w:sz="8" w:space="0"/>
        <w:left w:val="single" w:color="97CD71" w:themeColor="accent4" w:themeTint="BF" w:sz="8" w:space="0"/>
        <w:bottom w:val="single" w:color="97CD71" w:themeColor="accent4" w:themeTint="BF" w:sz="8" w:space="0"/>
        <w:right w:val="single" w:color="97CD71" w:themeColor="accent4" w:themeTint="BF" w:sz="8" w:space="0"/>
        <w:insideH w:val="single" w:color="97CD71" w:themeColor="accent4" w:themeTint="BF" w:sz="8" w:space="0"/>
        <w:insideV w:val="single" w:color="97CD71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ED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7CD71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shd w:val="clear" w:color="auto" w:fill="BADEA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5DD6CC" w:themeColor="accent5" w:themeTint="BF" w:sz="8" w:space="0"/>
        <w:left w:val="single" w:color="5DD6CC" w:themeColor="accent5" w:themeTint="BF" w:sz="8" w:space="0"/>
        <w:bottom w:val="single" w:color="5DD6CC" w:themeColor="accent5" w:themeTint="BF" w:sz="8" w:space="0"/>
        <w:right w:val="single" w:color="5DD6CC" w:themeColor="accent5" w:themeTint="BF" w:sz="8" w:space="0"/>
        <w:insideH w:val="single" w:color="5DD6CC" w:themeColor="accent5" w:themeTint="BF" w:sz="8" w:space="0"/>
        <w:insideV w:val="single" w:color="5DD6CC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F1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5DD6CC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shd w:val="clear" w:color="auto" w:fill="93E4DD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EB7886" w:themeColor="accent6" w:themeTint="BF" w:sz="8" w:space="0"/>
        <w:left w:val="single" w:color="EB7886" w:themeColor="accent6" w:themeTint="BF" w:sz="8" w:space="0"/>
        <w:bottom w:val="single" w:color="EB7886" w:themeColor="accent6" w:themeTint="BF" w:sz="8" w:space="0"/>
        <w:right w:val="single" w:color="EB7886" w:themeColor="accent6" w:themeTint="BF" w:sz="8" w:space="0"/>
        <w:insideH w:val="single" w:color="EB7886" w:themeColor="accent6" w:themeTint="BF" w:sz="8" w:space="0"/>
        <w:insideV w:val="single" w:color="EB7886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2D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B7886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A5AE" w:themeFill="accent6" w:themeFillTint="7F"/>
      </w:tcPr>
    </w:tblStylePr>
    <w:tblStylePr w:type="band1Horz">
      <w:tblPr/>
      <w:tcPr>
        <w:shd w:val="clear" w:color="auto" w:fill="F2A5AE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eastAsia="Radam" w:asciiTheme="majorHAnsi" w:hAnsiTheme="majorHAnsi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eastAsia="Radam" w:asciiTheme="majorHAnsi" w:hAnsiTheme="majorHAnsi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874CB" w:themeColor="accent1" w:sz="8" w:space="0"/>
        <w:left w:val="single" w:color="4874CB" w:themeColor="accent1" w:sz="8" w:space="0"/>
        <w:bottom w:val="single" w:color="4874CB" w:themeColor="accent1" w:sz="8" w:space="0"/>
        <w:right w:val="single" w:color="4874CB" w:themeColor="accent1" w:sz="8" w:space="0"/>
        <w:insideH w:val="single" w:color="4874CB" w:themeColor="accent1" w:sz="8" w:space="0"/>
        <w:insideV w:val="single" w:color="4874CB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DCF2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1F9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3F4" w:themeFill="accent1" w:themeFillTint="33"/>
      </w:tcPr>
    </w:tblStylePr>
    <w:tblStylePr w:type="band1Vert">
      <w:tblPr/>
      <w:tcPr>
        <w:shd w:val="clear" w:color="auto" w:fill="A3B9E5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3B9E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eastAsia="Radam" w:asciiTheme="majorHAnsi" w:hAnsiTheme="majorHAnsi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8" w:space="0"/>
        <w:left w:val="single" w:color="EE822F" w:themeColor="accent2" w:sz="8" w:space="0"/>
        <w:bottom w:val="single" w:color="EE822F" w:themeColor="accent2" w:sz="8" w:space="0"/>
        <w:right w:val="single" w:color="EE822F" w:themeColor="accent2" w:sz="8" w:space="0"/>
        <w:insideH w:val="single" w:color="EE822F" w:themeColor="accent2" w:sz="8" w:space="0"/>
        <w:insideV w:val="single" w:color="EE822F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0CB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5D5" w:themeFill="accent2" w:themeFillTint="33"/>
      </w:tc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6C09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eastAsia="Radam" w:asciiTheme="majorHAnsi" w:hAnsiTheme="majorHAnsi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2BA02" w:themeColor="accent3" w:sz="8" w:space="0"/>
        <w:left w:val="single" w:color="F2BA02" w:themeColor="accent3" w:sz="8" w:space="0"/>
        <w:bottom w:val="single" w:color="F2BA02" w:themeColor="accent3" w:sz="8" w:space="0"/>
        <w:right w:val="single" w:color="F2BA02" w:themeColor="accent3" w:sz="8" w:space="0"/>
        <w:insideH w:val="single" w:color="F2BA02" w:themeColor="accent3" w:sz="8" w:space="0"/>
        <w:insideV w:val="single" w:color="F2BA02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FBD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8E5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A" w:themeFill="accent3" w:themeFillTint="33"/>
      </w:tcPr>
    </w:tblStylePr>
    <w:tblStylePr w:type="band1Vert">
      <w:tblPr/>
      <w:tcPr>
        <w:shd w:val="clear" w:color="auto" w:fill="FDDF7B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DDF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eastAsia="Radam" w:asciiTheme="majorHAnsi" w:hAnsiTheme="majorHAnsi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75BD42" w:themeColor="accent4" w:sz="8" w:space="0"/>
        <w:left w:val="single" w:color="75BD42" w:themeColor="accent4" w:sz="8" w:space="0"/>
        <w:bottom w:val="single" w:color="75BD42" w:themeColor="accent4" w:sz="8" w:space="0"/>
        <w:right w:val="single" w:color="75BD42" w:themeColor="accent4" w:sz="8" w:space="0"/>
        <w:insideH w:val="single" w:color="75BD42" w:themeColor="accent4" w:sz="8" w:space="0"/>
        <w:insideV w:val="single" w:color="75BD4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ED0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1F8EC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D9" w:themeFill="accent4" w:themeFillTint="33"/>
      </w:tc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ADEA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eastAsia="Radam" w:asciiTheme="majorHAnsi" w:hAnsiTheme="majorHAnsi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30C0B4" w:themeColor="accent5" w:sz="8" w:space="0"/>
        <w:left w:val="single" w:color="30C0B4" w:themeColor="accent5" w:sz="8" w:space="0"/>
        <w:bottom w:val="single" w:color="30C0B4" w:themeColor="accent5" w:sz="8" w:space="0"/>
        <w:right w:val="single" w:color="30C0B4" w:themeColor="accent5" w:sz="8" w:space="0"/>
        <w:insideH w:val="single" w:color="30C0B4" w:themeColor="accent5" w:sz="8" w:space="0"/>
        <w:insideV w:val="single" w:color="30C0B4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F1EE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9F9F8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4F1" w:themeFill="accent5" w:themeFillTint="33"/>
      </w:tc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93E4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eastAsia="Radam" w:asciiTheme="majorHAnsi" w:hAnsiTheme="majorHAnsi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54C5E" w:themeColor="accent6" w:sz="8" w:space="0"/>
        <w:left w:val="single" w:color="E54C5E" w:themeColor="accent6" w:sz="8" w:space="0"/>
        <w:bottom w:val="single" w:color="E54C5E" w:themeColor="accent6" w:sz="8" w:space="0"/>
        <w:right w:val="single" w:color="E54C5E" w:themeColor="accent6" w:sz="8" w:space="0"/>
        <w:insideH w:val="single" w:color="E54C5E" w:themeColor="accent6" w:sz="8" w:space="0"/>
        <w:insideV w:val="single" w:color="E54C5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2D7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CEDEF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DE" w:themeFill="accent6" w:themeFillTint="33"/>
      </w:tcPr>
    </w:tblStylePr>
    <w:tblStylePr w:type="band1Vert">
      <w:tblPr/>
      <w:tcPr>
        <w:shd w:val="clear" w:color="auto" w:fill="F2A5AE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2A5A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DCF2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874CB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874CB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874CB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874CB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3B9E5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3B9E5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0CB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E822F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E822F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E822F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E822F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6C097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6C097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FBD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2BA02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2BA02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2BA02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2BA02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DDF7B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DDF7B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ED0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75BD4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75BD4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5BD4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5BD4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ADEA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ADEA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F1EE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30C0B4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30C0B4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30C0B4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30C0B4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93E4DD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93E4DD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2D7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54C5E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54C5E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54C5E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54C5E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2A5AE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2A5AE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874C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E376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D54A0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D54A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4A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4A0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822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33F0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C55E10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E10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BA0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85C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58B01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58B0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0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01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5BD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A5E2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78D31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D31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0C0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75F5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38F86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38F8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8F8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8F86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4C5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4132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C71C31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C71C3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C3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C31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E822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2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E822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44380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44380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380" w:themeFill="accent1" w:themeFillShade="99"/>
      </w:tcPr>
    </w:tblStylePr>
    <w:tblStylePr w:type="band1Vert">
      <w:tblPr/>
      <w:tcPr>
        <w:shd w:val="clear" w:color="auto" w:fill="B5C7EA" w:themeFill="accent1" w:themeFillTint="66"/>
      </w:tcPr>
    </w:tblStylePr>
    <w:tblStylePr w:type="band1Horz">
      <w:tblPr/>
      <w:tcPr>
        <w:shd w:val="clear" w:color="auto" w:fill="A3B9E5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E822F" w:themeColor="accent2" w:sz="24" w:space="0"/>
        <w:left w:val="single" w:color="EE822F" w:themeColor="accent2" w:sz="4" w:space="0"/>
        <w:bottom w:val="single" w:color="EE822F" w:themeColor="accent2" w:sz="4" w:space="0"/>
        <w:right w:val="single" w:color="EE822F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E822F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E4B0C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E4B0C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4B0C" w:themeFill="accent2" w:themeFillShade="99"/>
      </w:tcPr>
    </w:tblStylePr>
    <w:tblStylePr w:type="band1Vert">
      <w:tblPr/>
      <w:tcPr>
        <w:shd w:val="clear" w:color="auto" w:fill="F8CCAB" w:themeFill="accent2" w:themeFillTint="66"/>
      </w:tcPr>
    </w:tblStylePr>
    <w:tblStylePr w:type="band1Horz">
      <w:tblPr/>
      <w:tcPr>
        <w:shd w:val="clear" w:color="auto" w:fill="F6C097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75BD42" w:themeColor="accent4" w:sz="24" w:space="0"/>
        <w:left w:val="single" w:color="F2BA02" w:themeColor="accent3" w:sz="4" w:space="0"/>
        <w:bottom w:val="single" w:color="F2BA02" w:themeColor="accent3" w:sz="4" w:space="0"/>
        <w:right w:val="single" w:color="F2BA02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8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5BD4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16F01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16F01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6F01" w:themeFill="accent3" w:themeFillShade="99"/>
      </w:tcPr>
    </w:tblStylePr>
    <w:tblStylePr w:type="band1Vert">
      <w:tblPr/>
      <w:tcPr>
        <w:shd w:val="clear" w:color="auto" w:fill="FEE595" w:themeFill="accent3" w:themeFillTint="66"/>
      </w:tcPr>
    </w:tblStylePr>
    <w:tblStylePr w:type="band1Horz">
      <w:tblPr/>
      <w:tcPr>
        <w:shd w:val="clear" w:color="auto" w:fill="FDDF7B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2BA02" w:themeColor="accent3" w:sz="24" w:space="0"/>
        <w:left w:val="single" w:color="75BD42" w:themeColor="accent4" w:sz="4" w:space="0"/>
        <w:bottom w:val="single" w:color="75BD42" w:themeColor="accent4" w:sz="4" w:space="0"/>
        <w:right w:val="single" w:color="75BD4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8E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2BA02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67127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67127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27" w:themeFill="accent4" w:themeFillShade="99"/>
      </w:tcPr>
    </w:tblStylePr>
    <w:tblStylePr w:type="band1Vert">
      <w:tblPr/>
      <w:tcPr>
        <w:shd w:val="clear" w:color="auto" w:fill="C7E4B3" w:themeFill="accent4" w:themeFillTint="66"/>
      </w:tcPr>
    </w:tblStylePr>
    <w:tblStylePr w:type="band1Horz">
      <w:tblPr/>
      <w:tcPr>
        <w:shd w:val="clear" w:color="auto" w:fill="BADEA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54C5E" w:themeColor="accent6" w:sz="2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9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54C5E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1C736B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1C736B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736B" w:themeFill="accent5" w:themeFillShade="99"/>
      </w:tcPr>
    </w:tblStylePr>
    <w:tblStylePr w:type="band1Vert">
      <w:tblPr/>
      <w:tcPr>
        <w:shd w:val="clear" w:color="auto" w:fill="A8E9E3" w:themeFill="accent5" w:themeFillTint="66"/>
      </w:tcPr>
    </w:tblStylePr>
    <w:tblStylePr w:type="band1Horz">
      <w:tblPr/>
      <w:tcPr>
        <w:shd w:val="clear" w:color="auto" w:fill="93E4DD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30C0B4" w:themeColor="accent5" w:sz="2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D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30C0B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F172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F172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1727" w:themeFill="accent6" w:themeFillShade="99"/>
      </w:tcPr>
    </w:tblStylePr>
    <w:tblStylePr w:type="band1Vert">
      <w:tblPr/>
      <w:tcPr>
        <w:shd w:val="clear" w:color="auto" w:fill="F4B7BE" w:themeFill="accent6" w:themeFillTint="66"/>
      </w:tcPr>
    </w:tblStylePr>
    <w:tblStylePr w:type="band1Horz">
      <w:tblPr/>
      <w:tcPr>
        <w:shd w:val="clear" w:color="auto" w:fill="F2A5AE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511" w:themeFill="accent2" w:themeFillShade="CC"/>
      </w:tcPr>
    </w:tblStylePr>
    <w:tblStylePr w:type="lastRow">
      <w:rPr>
        <w:b/>
        <w:bCs/>
        <w:color w:val="D36511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1F9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511" w:themeFill="accent2" w:themeFillShade="CC"/>
      </w:tcPr>
    </w:tblStylePr>
    <w:tblStylePr w:type="lastRow">
      <w:rPr>
        <w:b/>
        <w:bCs/>
        <w:color w:val="D36511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CF2" w:themeFill="accent1" w:themeFillTint="3F"/>
      </w:tcPr>
    </w:tblStylePr>
    <w:tblStylePr w:type="band1Horz">
      <w:tblPr/>
      <w:tcPr>
        <w:shd w:val="clear" w:color="auto" w:fill="DAE3F4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511" w:themeFill="accent2" w:themeFillShade="CC"/>
      </w:tcPr>
    </w:tblStylePr>
    <w:tblStylePr w:type="lastRow">
      <w:rPr>
        <w:b/>
        <w:bCs/>
        <w:color w:val="D36511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0CB" w:themeFill="accent2" w:themeFillTint="3F"/>
      </w:tcPr>
    </w:tblStylePr>
    <w:tblStylePr w:type="band1Horz">
      <w:tblPr/>
      <w:tcPr>
        <w:shd w:val="clear" w:color="auto" w:fill="FBE5D5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8E5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5D9734" w:themeFill="accent4" w:themeFillShade="CC"/>
      </w:tcPr>
    </w:tblStylePr>
    <w:tblStylePr w:type="lastRow">
      <w:rPr>
        <w:b/>
        <w:bCs/>
        <w:color w:val="5E9735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FBD" w:themeFill="accent3" w:themeFillTint="3F"/>
      </w:tcPr>
    </w:tblStylePr>
    <w:tblStylePr w:type="band1Horz">
      <w:tblPr/>
      <w:tcPr>
        <w:shd w:val="clear" w:color="auto" w:fill="FEF2CA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8EC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C19401" w:themeFill="accent3" w:themeFillShade="CC"/>
      </w:tcPr>
    </w:tblStylePr>
    <w:tblStylePr w:type="lastRow">
      <w:rPr>
        <w:b/>
        <w:bCs/>
        <w:color w:val="C29502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D0" w:themeFill="accent4" w:themeFillTint="3F"/>
      </w:tcPr>
    </w:tblStylePr>
    <w:tblStylePr w:type="band1Horz">
      <w:tblPr/>
      <w:tcPr>
        <w:shd w:val="clear" w:color="auto" w:fill="E3F1D9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9F8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51E34" w:themeFill="accent6" w:themeFillShade="CC"/>
      </w:tcPr>
    </w:tblStylePr>
    <w:tblStylePr w:type="lastRow">
      <w:rPr>
        <w:b/>
        <w:bCs/>
        <w:color w:val="D51F34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1EE" w:themeFill="accent5" w:themeFillTint="3F"/>
      </w:tcPr>
    </w:tblStylePr>
    <w:tblStylePr w:type="band1Horz">
      <w:tblPr/>
      <w:tcPr>
        <w:shd w:val="clear" w:color="auto" w:fill="D3F4F1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DEF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26998F" w:themeFill="accent5" w:themeFillShade="CC"/>
      </w:tcPr>
    </w:tblStylePr>
    <w:tblStylePr w:type="lastRow">
      <w:rPr>
        <w:b/>
        <w:bCs/>
        <w:color w:val="269A90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2D7" w:themeFill="accent6" w:themeFillTint="3F"/>
      </w:tcPr>
    </w:tblStylePr>
    <w:tblStylePr w:type="band1Horz">
      <w:tblPr/>
      <w:tcPr>
        <w:shd w:val="clear" w:color="auto" w:fill="F9DBDE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3F4" w:themeFill="accent1" w:themeFillTint="33"/>
    </w:tcPr>
    <w:tblStylePr w:type="firstRow">
      <w:rPr>
        <w:b/>
        <w:bCs/>
      </w:rPr>
      <w:tblPr/>
      <w:tcPr>
        <w:shd w:val="clear" w:color="auto" w:fill="B5C7EA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5C7EA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D54A0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D54A0" w:themeFill="accent1" w:themeFillShade="BF"/>
      </w:tcPr>
    </w:tblStylePr>
    <w:tblStylePr w:type="band1Vert">
      <w:tblPr/>
      <w:tcPr>
        <w:shd w:val="clear" w:color="auto" w:fill="A3B9E5" w:themeFill="accent1" w:themeFillTint="7F"/>
      </w:tcPr>
    </w:tblStylePr>
    <w:tblStylePr w:type="band1Horz">
      <w:tblPr/>
      <w:tcPr>
        <w:shd w:val="clear" w:color="auto" w:fill="A3B9E5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5D5" w:themeFill="accent2" w:themeFillTint="33"/>
    </w:tcPr>
    <w:tblStylePr w:type="firstRow">
      <w:rPr>
        <w:b/>
        <w:bCs/>
      </w:rPr>
      <w:tblPr/>
      <w:tcPr>
        <w:shd w:val="clear" w:color="auto" w:fill="F8CCAB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CCAB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55E10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55E10" w:themeFill="accent2" w:themeFillShade="BF"/>
      </w:tcPr>
    </w:tblStylePr>
    <w:tblStylePr w:type="band1Vert">
      <w:tblPr/>
      <w:tcPr>
        <w:shd w:val="clear" w:color="auto" w:fill="F6C097" w:themeFill="accent2" w:themeFillTint="7F"/>
      </w:tcPr>
    </w:tblStylePr>
    <w:tblStylePr w:type="band1Horz">
      <w:tblPr/>
      <w:tcPr>
        <w:shd w:val="clear" w:color="auto" w:fill="F6C097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2CA" w:themeFill="accent3" w:themeFillTint="33"/>
    </w:tcPr>
    <w:tblStylePr w:type="firstRow">
      <w:rPr>
        <w:b/>
        <w:bCs/>
      </w:rPr>
      <w:tblPr/>
      <w:tcPr>
        <w:shd w:val="clear" w:color="auto" w:fill="FEE595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E595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B58B01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B58B01" w:themeFill="accent3" w:themeFillShade="BF"/>
      </w:tcPr>
    </w:tblStylePr>
    <w:tblStylePr w:type="band1Vert">
      <w:tblPr/>
      <w:tcPr>
        <w:shd w:val="clear" w:color="auto" w:fill="FDDF7B" w:themeFill="accent3" w:themeFillTint="7F"/>
      </w:tcPr>
    </w:tblStylePr>
    <w:tblStylePr w:type="band1Horz">
      <w:tblPr/>
      <w:tcPr>
        <w:shd w:val="clear" w:color="auto" w:fill="FDDF7B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1D9" w:themeFill="accent4" w:themeFillTint="33"/>
    </w:tcPr>
    <w:tblStylePr w:type="firstRow">
      <w:rPr>
        <w:b/>
        <w:bCs/>
      </w:rPr>
      <w:tblPr/>
      <w:tcPr>
        <w:shd w:val="clear" w:color="auto" w:fill="C7E4B3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7E4B3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78D31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78D31" w:themeFill="accent4" w:themeFillShade="BF"/>
      </w:tcPr>
    </w:tblStylePr>
    <w:tblStylePr w:type="band1Vert">
      <w:tblPr/>
      <w:tcPr>
        <w:shd w:val="clear" w:color="auto" w:fill="BADEA0" w:themeFill="accent4" w:themeFillTint="7F"/>
      </w:tcPr>
    </w:tblStylePr>
    <w:tblStylePr w:type="band1Horz">
      <w:tblPr/>
      <w:tcPr>
        <w:shd w:val="clear" w:color="auto" w:fill="BADEA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F4F1" w:themeFill="accent5" w:themeFillTint="33"/>
    </w:tcPr>
    <w:tblStylePr w:type="firstRow">
      <w:rPr>
        <w:b/>
        <w:bCs/>
      </w:rPr>
      <w:tblPr/>
      <w:tcPr>
        <w:shd w:val="clear" w:color="auto" w:fill="A8E9E3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A8E9E3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38F86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38F86" w:themeFill="accent5" w:themeFillShade="BF"/>
      </w:tcPr>
    </w:tblStylePr>
    <w:tblStylePr w:type="band1Vert">
      <w:tblPr/>
      <w:tcPr>
        <w:shd w:val="clear" w:color="auto" w:fill="93E4DD" w:themeFill="accent5" w:themeFillTint="7F"/>
      </w:tcPr>
    </w:tblStylePr>
    <w:tblStylePr w:type="band1Horz">
      <w:tblPr/>
      <w:tcPr>
        <w:shd w:val="clear" w:color="auto" w:fill="93E4DD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DE" w:themeFill="accent6" w:themeFillTint="33"/>
    </w:tcPr>
    <w:tblStylePr w:type="firstRow">
      <w:rPr>
        <w:b/>
        <w:bCs/>
      </w:rPr>
      <w:tblPr/>
      <w:tcPr>
        <w:shd w:val="clear" w:color="auto" w:fill="F4B7BE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4B7BE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71C31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71C31" w:themeFill="accent6" w:themeFillShade="BF"/>
      </w:tcPr>
    </w:tblStylePr>
    <w:tblStylePr w:type="band1Vert">
      <w:tblPr/>
      <w:tcPr>
        <w:shd w:val="clear" w:color="auto" w:fill="F2A5AE" w:themeFill="accent6" w:themeFillTint="7F"/>
      </w:tcPr>
    </w:tblStylePr>
    <w:tblStylePr w:type="band1Horz">
      <w:tblPr/>
      <w:tcPr>
        <w:shd w:val="clear" w:color="auto" w:fill="F2A5AE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eastAsia="方正FW筑紫A老明朝 简 M" w:asciiTheme="minorHAnsi" w:hAnsiTheme="minorHAnsi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="Times New Roman" w:hAnsi="Times New Roman" w:eastAsia="黑体" w:cs="Times New Roman"/>
      <w:color w:val="000000"/>
      <w:kern w:val="44"/>
      <w:sz w:val="32"/>
      <w:szCs w:val="44"/>
    </w:rPr>
  </w:style>
  <w:style w:type="character" w:customStyle="1" w:styleId="139">
    <w:name w:val="Heading 2 Char"/>
    <w:basedOn w:val="132"/>
    <w:uiPriority w:val="9"/>
    <w:rPr>
      <w:rFonts w:eastAsia="Radam" w:asciiTheme="majorHAnsi" w:hAnsiTheme="majorHAnsi" w:cstheme="majorBidi"/>
      <w:b/>
      <w:bCs/>
      <w:color w:val="4874CB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uiPriority w:val="9"/>
    <w:rPr>
      <w:rFonts w:eastAsia="Radam" w:asciiTheme="majorHAnsi" w:hAnsiTheme="majorHAnsi" w:cstheme="majorBidi"/>
      <w:b/>
      <w:b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uiPriority w:val="10"/>
    <w:rPr>
      <w:rFonts w:eastAsia="Radam" w:asciiTheme="majorHAnsi" w:hAnsiTheme="majorHAnsi" w:cstheme="majorBidi"/>
      <w:color w:val="333F50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uiPriority w:val="11"/>
    <w:rPr>
      <w:rFonts w:eastAsia="Radam" w:asciiTheme="majorHAnsi" w:hAnsiTheme="majorHAnsi" w:cstheme="majorBidi"/>
      <w:i/>
      <w:iCs/>
      <w:color w:val="4874CB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 New" w:hAnsi="Courier New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="Times New Roman" w:hAnsi="Times New Roman" w:eastAsia="黑体" w:cs="Times New Roman"/>
      <w:bCs/>
      <w:kern w:val="2"/>
      <w:sz w:val="28"/>
      <w:szCs w:val="28"/>
    </w:rPr>
  </w:style>
  <w:style w:type="character" w:customStyle="1" w:styleId="151">
    <w:name w:val="Heading 5 Char"/>
    <w:basedOn w:val="132"/>
    <w:link w:val="7"/>
    <w:semiHidden/>
    <w:uiPriority w:val="9"/>
    <w:rPr>
      <w:rFonts w:ascii="Times New Roman" w:hAnsi="Times New Roman" w:eastAsia="黑体" w:cs="Times New Roman"/>
      <w:bCs/>
      <w:kern w:val="2"/>
      <w:sz w:val="28"/>
      <w:szCs w:val="28"/>
    </w:rPr>
  </w:style>
  <w:style w:type="character" w:customStyle="1" w:styleId="152">
    <w:name w:val="Heading 6 Char"/>
    <w:basedOn w:val="132"/>
    <w:link w:val="8"/>
    <w:semiHidden/>
    <w:uiPriority w:val="9"/>
    <w:rPr>
      <w:rFonts w:ascii="Times New Roman" w:hAnsi="Times New Roman" w:eastAsia="黑体" w:cs="Times New Roman"/>
      <w:bCs/>
      <w:kern w:val="2"/>
      <w:sz w:val="28"/>
      <w:szCs w:val="24"/>
    </w:rPr>
  </w:style>
  <w:style w:type="character" w:customStyle="1" w:styleId="153">
    <w:name w:val="Heading 7 Char"/>
    <w:basedOn w:val="132"/>
    <w:link w:val="9"/>
    <w:semiHidden/>
    <w:uiPriority w:val="9"/>
    <w:rPr>
      <w:rFonts w:ascii="Times New Roman" w:hAnsi="Times New Roman" w:eastAsia="黑体" w:cs="Times New Roman"/>
      <w:bCs/>
      <w:kern w:val="2"/>
      <w:sz w:val="24"/>
      <w:szCs w:val="24"/>
    </w:rPr>
  </w:style>
  <w:style w:type="character" w:customStyle="1" w:styleId="154">
    <w:name w:val="Heading 8 Char"/>
    <w:basedOn w:val="132"/>
    <w:link w:val="10"/>
    <w:semiHidden/>
    <w:uiPriority w:val="9"/>
    <w:rPr>
      <w:rFonts w:ascii="Times New Roman" w:hAnsi="Times New Roman" w:eastAsia="黑体" w:cs="Times New Roman"/>
      <w:kern w:val="2"/>
      <w:sz w:val="24"/>
      <w:szCs w:val="24"/>
    </w:rPr>
  </w:style>
  <w:style w:type="character" w:customStyle="1" w:styleId="155">
    <w:name w:val="Heading 9 Char"/>
    <w:basedOn w:val="132"/>
    <w:link w:val="11"/>
    <w:semiHidden/>
    <w:uiPriority w:val="9"/>
    <w:rPr>
      <w:rFonts w:ascii="Times New Roman" w:hAnsi="Times New Roman" w:eastAsia="黑体" w:cs="Times New Roman"/>
      <w:kern w:val="2"/>
      <w:sz w:val="21"/>
      <w:szCs w:val="21"/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874CB" w:themeColor="accent1" w:sz="4" w:space="4"/>
      </w:pBdr>
      <w:spacing w:before="200" w:after="280"/>
      <w:ind w:left="936" w:right="936"/>
    </w:pPr>
    <w:rPr>
      <w:b/>
      <w:bCs/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EE822F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EE822F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附录标题"/>
    <w:next w:val="1"/>
    <w:uiPriority w:val="0"/>
    <w:pPr>
      <w:widowControl w:val="0"/>
      <w:adjustRightInd w:val="0"/>
      <w:spacing w:before="100" w:after="100" w:line="36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6"/>
      <w:szCs w:val="44"/>
      <w:lang w:bidi="ar-SA"/>
    </w:rPr>
  </w:style>
  <w:style w:type="paragraph" w:customStyle="1" w:styleId="165">
    <w:name w:val="章标题"/>
    <w:next w:val="1"/>
    <w:uiPriority w:val="0"/>
    <w:pPr>
      <w:widowControl w:val="0"/>
      <w:adjustRightInd w:val="0"/>
      <w:spacing w:before="100" w:after="100" w:line="360" w:lineRule="auto"/>
      <w:jc w:val="center"/>
      <w:outlineLvl w:val="0"/>
    </w:pPr>
    <w:rPr>
      <w:rFonts w:ascii="Times New Roman" w:hAnsi="Times New Roman" w:eastAsia="黑体" w:cs="Times New Roman"/>
      <w:kern w:val="44"/>
      <w:sz w:val="36"/>
      <w:szCs w:val="44"/>
      <w:lang w:bidi="ar-SA"/>
    </w:rPr>
  </w:style>
  <w:style w:type="paragraph" w:customStyle="1" w:styleId="166">
    <w:name w:val="题注1"/>
    <w:next w:val="1"/>
    <w:uiPriority w:val="0"/>
    <w:pPr>
      <w:widowControl w:val="0"/>
      <w:adjustRightInd w:val="0"/>
      <w:spacing w:before="240" w:after="120" w:line="288" w:lineRule="auto"/>
      <w:jc w:val="center"/>
    </w:pPr>
    <w:rPr>
      <w:rFonts w:ascii="Times New Roman" w:hAnsi="Times New Roman" w:eastAsia="宋体" w:cs="宋体"/>
      <w:kern w:val="2"/>
      <w:sz w:val="24"/>
      <w:szCs w:val="2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2013-12-24T23:15:00Z</dcterms:created>
  <dc:creator>python-docx</dc:creator>
  <dc:description>generated by python-docx</dc:description>
  <cp:lastModifiedBy>Hypo</cp:lastModifiedBy>
  <dcterms:modified xsi:type="dcterms:W3CDTF">2026-07-08T22:20:26Z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41C38A4D8CEA970CB1554E6AB47BEB8C_42</vt:lpwstr>
  </property>
</Properties>
</file>