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288F73">
      <w:pPr>
        <w:pageBreakBefore w:val="0"/>
        <w:widowControl/>
        <w:kinsoku/>
        <w:wordWrap/>
        <w:overflowPunct/>
        <w:topLinePunct w:val="0"/>
        <w:autoSpaceDE/>
        <w:autoSpaceDN/>
        <w:bidi w:val="0"/>
        <w:adjustRightInd/>
        <w:snapToGrid/>
        <w:spacing w:after="120" w:line="288" w:lineRule="auto"/>
        <w:jc w:val="center"/>
        <w:textAlignment w:val="auto"/>
        <w:rPr>
          <w:rFonts w:ascii="Noto Sans CJK SC" w:hAnsi="Noto Sans CJK SC" w:eastAsia="Noto Sans CJK SC" w:cstheme="minorBidi"/>
          <w:sz w:val="21"/>
          <w:szCs w:val="22"/>
          <w:lang w:val="en-US" w:eastAsia="en-US" w:bidi="ar-SA"/>
        </w:rPr>
      </w:pPr>
      <w:r>
        <w:rPr>
          <w:rFonts w:ascii="Noto Sans CJK SC" w:hAnsi="Noto Sans CJK SC" w:eastAsia="Noto Sans CJK SC" w:cstheme="minorBidi"/>
          <w:b/>
          <w:color w:val="092E4E"/>
          <w:sz w:val="68"/>
          <w:szCs w:val="22"/>
          <w:lang w:val="en-US" w:eastAsia="en-US" w:bidi="ar-SA"/>
        </w:rPr>
        <w:t>TrafficInsight</w:t>
      </w:r>
    </w:p>
    <w:p w14:paraId="624386C7">
      <w:pPr>
        <w:pageBreakBefore w:val="0"/>
        <w:widowControl/>
        <w:kinsoku/>
        <w:wordWrap/>
        <w:overflowPunct/>
        <w:topLinePunct w:val="0"/>
        <w:autoSpaceDE/>
        <w:autoSpaceDN/>
        <w:bidi w:val="0"/>
        <w:adjustRightInd/>
        <w:snapToGrid/>
        <w:spacing w:after="120" w:line="288" w:lineRule="auto"/>
        <w:jc w:val="center"/>
        <w:textAlignment w:val="auto"/>
        <w:rPr>
          <w:rFonts w:ascii="Noto Sans CJK SC" w:hAnsi="Noto Sans CJK SC" w:eastAsia="Noto Sans CJK SC" w:cstheme="minorBidi"/>
          <w:sz w:val="21"/>
          <w:szCs w:val="22"/>
          <w:lang w:val="en-US" w:eastAsia="en-US" w:bidi="ar-SA"/>
        </w:rPr>
      </w:pPr>
      <w:r>
        <w:rPr>
          <w:rFonts w:ascii="Noto Sans CJK SC" w:hAnsi="Noto Sans CJK SC" w:eastAsia="Noto Sans CJK SC" w:cstheme="minorBidi"/>
          <w:b/>
          <w:color w:val="092E4E"/>
          <w:sz w:val="40"/>
          <w:szCs w:val="22"/>
          <w:lang w:val="en-US" w:eastAsia="en-US" w:bidi="ar-SA"/>
        </w:rPr>
        <w:t>智慧交通全域态势感知数字孪生教学创新平台</w:t>
      </w:r>
    </w:p>
    <w:p w14:paraId="17D51B25">
      <w:pPr>
        <w:pageBreakBefore w:val="0"/>
        <w:widowControl/>
        <w:kinsoku/>
        <w:wordWrap/>
        <w:overflowPunct/>
        <w:topLinePunct w:val="0"/>
        <w:autoSpaceDE/>
        <w:autoSpaceDN/>
        <w:bidi w:val="0"/>
        <w:adjustRightInd/>
        <w:snapToGrid/>
        <w:spacing w:after="120" w:line="288" w:lineRule="auto"/>
        <w:jc w:val="center"/>
        <w:textAlignment w:val="auto"/>
        <w:rPr>
          <w:rFonts w:ascii="Noto Sans CJK SC" w:hAnsi="Noto Sans CJK SC" w:eastAsia="Noto Sans CJK SC" w:cstheme="minorBidi"/>
          <w:b/>
          <w:color w:val="1E5A82"/>
          <w:sz w:val="36"/>
          <w:szCs w:val="22"/>
          <w:lang w:val="en-US" w:eastAsia="en-US" w:bidi="ar-SA"/>
        </w:rPr>
      </w:pPr>
      <w:r>
        <w:rPr>
          <w:rFonts w:ascii="Noto Sans CJK SC" w:hAnsi="Noto Sans CJK SC" w:eastAsia="Noto Sans CJK SC" w:cstheme="minorBidi"/>
          <w:b/>
          <w:color w:val="1E5A82"/>
          <w:sz w:val="36"/>
          <w:szCs w:val="22"/>
          <w:lang w:val="en-US" w:eastAsia="en-US" w:bidi="ar-SA"/>
        </w:rPr>
        <w:t>项目报告</w:t>
      </w:r>
    </w:p>
    <w:p w14:paraId="2327F884">
      <w:pPr>
        <w:pageBreakBefore w:val="0"/>
        <w:widowControl/>
        <w:kinsoku/>
        <w:wordWrap/>
        <w:overflowPunct/>
        <w:topLinePunct w:val="0"/>
        <w:autoSpaceDE/>
        <w:autoSpaceDN/>
        <w:bidi w:val="0"/>
        <w:adjustRightInd/>
        <w:snapToGrid/>
        <w:spacing w:after="120" w:line="288" w:lineRule="auto"/>
        <w:jc w:val="center"/>
        <w:textAlignment w:val="auto"/>
        <w:rPr>
          <w:rFonts w:ascii="Noto Sans CJK SC" w:hAnsi="Noto Sans CJK SC" w:eastAsia="Noto Sans CJK SC" w:cstheme="minorBidi"/>
          <w:b/>
          <w:color w:val="1E5A82"/>
          <w:sz w:val="36"/>
          <w:szCs w:val="22"/>
          <w:lang w:val="en-US" w:eastAsia="en-US" w:bidi="ar-SA"/>
        </w:rPr>
      </w:pPr>
    </w:p>
    <w:p w14:paraId="24896C76">
      <w:pPr>
        <w:pageBreakBefore w:val="0"/>
        <w:widowControl/>
        <w:kinsoku/>
        <w:wordWrap/>
        <w:overflowPunct/>
        <w:topLinePunct w:val="0"/>
        <w:autoSpaceDE/>
        <w:autoSpaceDN/>
        <w:bidi w:val="0"/>
        <w:adjustRightInd/>
        <w:snapToGrid/>
        <w:spacing w:after="120" w:line="288" w:lineRule="auto"/>
        <w:jc w:val="both"/>
        <w:textAlignment w:val="auto"/>
        <w:rPr>
          <w:rFonts w:ascii="Noto Sans CJK SC" w:hAnsi="Noto Sans CJK SC" w:eastAsia="Noto Sans CJK SC" w:cstheme="minorBidi"/>
          <w:b/>
          <w:color w:val="1E5A82"/>
          <w:sz w:val="36"/>
          <w:szCs w:val="22"/>
          <w:lang w:val="en-US" w:eastAsia="en-US" w:bidi="ar-SA"/>
        </w:rPr>
      </w:pPr>
    </w:p>
    <w:tbl>
      <w:tblPr>
        <w:tblStyle w:val="3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1"/>
        <w:gridCol w:w="9073"/>
      </w:tblGrid>
      <w:tr w14:paraId="3D6B0370">
        <w:trPr>
          <w:trHeight w:val="0" w:hRule="atLeast"/>
          <w:tblHeader/>
          <w:jc w:val="center"/>
        </w:trPr>
        <w:tc>
          <w:tcPr>
            <w:tcW w:w="593" w:type="pct"/>
            <w:shd w:val="clear" w:color="auto" w:fill="0B4F80"/>
            <w:vAlign w:val="center"/>
          </w:tcPr>
          <w:p w14:paraId="54DE2DE4">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b/>
                <w:sz w:val="19"/>
              </w:rPr>
            </w:pPr>
            <w:r>
              <w:rPr>
                <w:rFonts w:ascii="Noto Sans CJK SC" w:hAnsi="Noto Sans CJK SC" w:eastAsia="Noto Sans CJK SC"/>
                <w:b/>
                <w:color w:val="FFFFFF"/>
                <w:sz w:val="19"/>
              </w:rPr>
              <w:t>项目</w:t>
            </w:r>
          </w:p>
        </w:tc>
        <w:tc>
          <w:tcPr>
            <w:tcW w:w="4406" w:type="pct"/>
            <w:shd w:val="clear" w:color="auto" w:fill="0B4F80"/>
            <w:vAlign w:val="center"/>
          </w:tcPr>
          <w:p w14:paraId="5012121D">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b/>
                <w:sz w:val="19"/>
              </w:rPr>
            </w:pPr>
            <w:r>
              <w:rPr>
                <w:rFonts w:ascii="Noto Sans CJK SC" w:hAnsi="Noto Sans CJK SC" w:eastAsia="Noto Sans CJK SC"/>
                <w:b/>
                <w:color w:val="FFFFFF"/>
                <w:sz w:val="19"/>
              </w:rPr>
              <w:t>说明</w:t>
            </w:r>
          </w:p>
        </w:tc>
      </w:tr>
      <w:tr w14:paraId="42C237B3">
        <w:trPr>
          <w:trHeight w:val="0" w:hRule="atLeast"/>
          <w:jc w:val="center"/>
        </w:trPr>
        <w:tc>
          <w:tcPr>
            <w:tcW w:w="593" w:type="pct"/>
            <w:vAlign w:val="center"/>
          </w:tcPr>
          <w:p w14:paraId="3D02349D">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color w:val="0B4F80"/>
                <w:sz w:val="19"/>
              </w:rPr>
              <w:t>作品名称</w:t>
            </w:r>
          </w:p>
        </w:tc>
        <w:tc>
          <w:tcPr>
            <w:tcW w:w="4406" w:type="pct"/>
            <w:vAlign w:val="center"/>
          </w:tcPr>
          <w:p w14:paraId="59E280B9">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val="0"/>
                <w:sz w:val="19"/>
              </w:rPr>
              <w:t>TrafficInsight：面向智慧交通态势感知的交通数字孪生虚拟仿真实验教学平台</w:t>
            </w:r>
          </w:p>
        </w:tc>
      </w:tr>
      <w:tr w14:paraId="07D5A45E">
        <w:trPr>
          <w:trHeight w:val="0" w:hRule="atLeast"/>
          <w:jc w:val="center"/>
        </w:trPr>
        <w:tc>
          <w:tcPr>
            <w:tcW w:w="593" w:type="pct"/>
            <w:vAlign w:val="center"/>
          </w:tcPr>
          <w:p w14:paraId="2B1710F0">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color w:val="0B4F80"/>
                <w:sz w:val="19"/>
              </w:rPr>
              <w:t>课程依托</w:t>
            </w:r>
          </w:p>
        </w:tc>
        <w:tc>
          <w:tcPr>
            <w:tcW w:w="4406" w:type="pct"/>
            <w:vAlign w:val="center"/>
          </w:tcPr>
          <w:p w14:paraId="2CFE8ED5">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val="0"/>
                <w:sz w:val="19"/>
              </w:rPr>
              <w:t>《智能交通系统》为主，兼顾《交通管理与控制》《交通工程学》《交通安全工程》</w:t>
            </w:r>
          </w:p>
        </w:tc>
      </w:tr>
      <w:tr w14:paraId="07DFEA2F">
        <w:trPr>
          <w:trHeight w:val="0" w:hRule="atLeast"/>
          <w:jc w:val="center"/>
        </w:trPr>
        <w:tc>
          <w:tcPr>
            <w:tcW w:w="593" w:type="pct"/>
            <w:vAlign w:val="center"/>
          </w:tcPr>
          <w:p w14:paraId="6580C0B1">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color w:val="0B4F80"/>
                <w:sz w:val="19"/>
              </w:rPr>
              <w:t>项目定位</w:t>
            </w:r>
          </w:p>
        </w:tc>
        <w:tc>
          <w:tcPr>
            <w:tcW w:w="4406" w:type="pct"/>
            <w:vAlign w:val="center"/>
          </w:tcPr>
          <w:p w14:paraId="2144541B">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val="0"/>
                <w:sz w:val="19"/>
              </w:rPr>
              <w:t>交通运输类专业数字孪生教学创新应用平台</w:t>
            </w:r>
          </w:p>
        </w:tc>
      </w:tr>
      <w:tr w14:paraId="39B6A895">
        <w:trPr>
          <w:trHeight w:val="0" w:hRule="atLeast"/>
          <w:jc w:val="center"/>
        </w:trPr>
        <w:tc>
          <w:tcPr>
            <w:tcW w:w="593" w:type="pct"/>
            <w:vAlign w:val="center"/>
          </w:tcPr>
          <w:p w14:paraId="47D70AF0">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color w:val="0B4F80"/>
                <w:sz w:val="19"/>
              </w:rPr>
              <w:t>核心闭环</w:t>
            </w:r>
          </w:p>
        </w:tc>
        <w:tc>
          <w:tcPr>
            <w:tcW w:w="4406" w:type="pct"/>
            <w:vAlign w:val="center"/>
          </w:tcPr>
          <w:p w14:paraId="57F11258">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val="0"/>
                <w:sz w:val="19"/>
              </w:rPr>
              <w:t>交通数据感知 → 路网数模映射 → 管控方案推演 → 学习评价反馈 → 教学成果沉淀</w:t>
            </w:r>
          </w:p>
        </w:tc>
      </w:tr>
      <w:tr w14:paraId="70CCDAD1">
        <w:trPr>
          <w:trHeight w:val="0" w:hRule="atLeast"/>
          <w:jc w:val="center"/>
        </w:trPr>
        <w:tc>
          <w:tcPr>
            <w:tcW w:w="593" w:type="pct"/>
            <w:vAlign w:val="center"/>
          </w:tcPr>
          <w:p w14:paraId="27BDD912">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color w:val="0B4F80"/>
                <w:sz w:val="19"/>
              </w:rPr>
              <w:t>文档用途</w:t>
            </w:r>
          </w:p>
        </w:tc>
        <w:tc>
          <w:tcPr>
            <w:tcW w:w="4406" w:type="pct"/>
            <w:vAlign w:val="center"/>
          </w:tcPr>
          <w:p w14:paraId="45161F5B">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val="0"/>
                <w:sz w:val="19"/>
              </w:rPr>
              <w:t>项目申报、答辩汇报、成果展示、系统说明和后续优化依据</w:t>
            </w:r>
          </w:p>
        </w:tc>
      </w:tr>
    </w:tbl>
    <w:p w14:paraId="19A54DE1">
      <w:pPr>
        <w:pageBreakBefore w:val="0"/>
        <w:widowControl/>
        <w:kinsoku/>
        <w:wordWrap/>
        <w:overflowPunct/>
        <w:topLinePunct w:val="0"/>
        <w:autoSpaceDE/>
        <w:autoSpaceDN/>
        <w:bidi w:val="0"/>
        <w:adjustRightInd/>
        <w:snapToGrid/>
        <w:spacing w:after="120" w:line="288" w:lineRule="auto"/>
        <w:ind w:firstLine="420" w:firstLineChars="200"/>
        <w:jc w:val="both"/>
        <w:textAlignment w:val="auto"/>
      </w:pPr>
      <w:r>
        <w:rPr>
          <w:rFonts w:ascii="Noto Sans CJK SC" w:hAnsi="Noto Sans CJK SC" w:eastAsia="Noto Sans CJK SC"/>
        </w:rPr>
        <w:br w:type="page"/>
      </w:r>
    </w:p>
    <w:p w14:paraId="2B83F48F">
      <w:pPr>
        <w:pStyle w:val="166"/>
        <w:widowControl/>
        <w:outlineLvl w:val="9"/>
      </w:pPr>
      <w:r>
        <w:t>目录</w:t>
      </w:r>
    </w:p>
    <w:p w14:paraId="4C54783D">
      <w:pPr>
        <w:pageBreakBefore w:val="0"/>
        <w:widowControl/>
        <w:kinsoku/>
        <w:wordWrap/>
        <w:overflowPunct/>
        <w:topLinePunct w:val="0"/>
        <w:autoSpaceDE/>
        <w:autoSpaceDN/>
        <w:bidi w:val="0"/>
        <w:adjustRightInd/>
        <w:snapToGrid/>
        <w:spacing w:after="120" w:line="288" w:lineRule="auto"/>
        <w:ind w:left="288" w:firstLine="420" w:firstLineChars="200"/>
        <w:textAlignment w:val="auto"/>
      </w:pPr>
      <w:r>
        <w:rPr>
          <w:rFonts w:ascii="Noto Sans CJK SC" w:hAnsi="Noto Sans CJK SC" w:eastAsia="Noto Sans CJK SC"/>
        </w:rPr>
        <w:t>一、项目摘要</w:t>
      </w:r>
    </w:p>
    <w:p w14:paraId="37152018">
      <w:pPr>
        <w:pageBreakBefore w:val="0"/>
        <w:widowControl/>
        <w:kinsoku/>
        <w:wordWrap/>
        <w:overflowPunct/>
        <w:topLinePunct w:val="0"/>
        <w:autoSpaceDE/>
        <w:autoSpaceDN/>
        <w:bidi w:val="0"/>
        <w:adjustRightInd/>
        <w:snapToGrid/>
        <w:spacing w:after="120" w:line="288" w:lineRule="auto"/>
        <w:ind w:left="288" w:leftChars="0" w:firstLine="420" w:firstLineChars="200"/>
        <w:textAlignment w:val="auto"/>
      </w:pPr>
      <w:r>
        <w:rPr>
          <w:rFonts w:ascii="Noto Sans CJK SC" w:hAnsi="Noto Sans CJK SC" w:eastAsia="Noto Sans CJK SC"/>
        </w:rPr>
        <w:t>二、项目背景与建设必要性</w:t>
      </w:r>
    </w:p>
    <w:p w14:paraId="160F75BD">
      <w:pPr>
        <w:pageBreakBefore w:val="0"/>
        <w:widowControl/>
        <w:kinsoku/>
        <w:wordWrap/>
        <w:overflowPunct/>
        <w:topLinePunct w:val="0"/>
        <w:autoSpaceDE/>
        <w:autoSpaceDN/>
        <w:bidi w:val="0"/>
        <w:adjustRightInd/>
        <w:snapToGrid/>
        <w:spacing w:after="120" w:line="288" w:lineRule="auto"/>
        <w:ind w:left="288" w:leftChars="0" w:firstLine="420" w:firstLineChars="200"/>
        <w:textAlignment w:val="auto"/>
      </w:pPr>
      <w:r>
        <w:rPr>
          <w:rFonts w:ascii="Noto Sans CJK SC" w:hAnsi="Noto Sans CJK SC" w:eastAsia="Noto Sans CJK SC"/>
        </w:rPr>
        <w:t>三、项目定位与建设目标</w:t>
      </w:r>
    </w:p>
    <w:p w14:paraId="60AE2710">
      <w:pPr>
        <w:pageBreakBefore w:val="0"/>
        <w:widowControl/>
        <w:kinsoku/>
        <w:wordWrap/>
        <w:overflowPunct/>
        <w:topLinePunct w:val="0"/>
        <w:autoSpaceDE/>
        <w:autoSpaceDN/>
        <w:bidi w:val="0"/>
        <w:adjustRightInd/>
        <w:snapToGrid/>
        <w:spacing w:after="120" w:line="288" w:lineRule="auto"/>
        <w:ind w:left="288" w:leftChars="0" w:firstLine="420" w:firstLineChars="200"/>
        <w:textAlignment w:val="auto"/>
      </w:pPr>
      <w:r>
        <w:rPr>
          <w:rFonts w:ascii="Noto Sans CJK SC" w:hAnsi="Noto Sans CJK SC" w:eastAsia="Noto Sans CJK SC"/>
        </w:rPr>
        <w:t>四、课程支撑关系与教学目标</w:t>
      </w:r>
    </w:p>
    <w:p w14:paraId="022B6D4B">
      <w:pPr>
        <w:pageBreakBefore w:val="0"/>
        <w:widowControl/>
        <w:kinsoku/>
        <w:wordWrap/>
        <w:overflowPunct/>
        <w:topLinePunct w:val="0"/>
        <w:autoSpaceDE/>
        <w:autoSpaceDN/>
        <w:bidi w:val="0"/>
        <w:adjustRightInd/>
        <w:snapToGrid/>
        <w:spacing w:after="120" w:line="288" w:lineRule="auto"/>
        <w:ind w:left="288" w:leftChars="0" w:firstLine="420" w:firstLineChars="200"/>
        <w:textAlignment w:val="auto"/>
      </w:pPr>
      <w:r>
        <w:rPr>
          <w:rFonts w:ascii="Noto Sans CJK SC" w:hAnsi="Noto Sans CJK SC" w:eastAsia="Noto Sans CJK SC"/>
        </w:rPr>
        <w:t>五、系统总体架构与技术路线</w:t>
      </w:r>
    </w:p>
    <w:p w14:paraId="326FABCC">
      <w:pPr>
        <w:pageBreakBefore w:val="0"/>
        <w:widowControl/>
        <w:kinsoku/>
        <w:wordWrap/>
        <w:overflowPunct/>
        <w:topLinePunct w:val="0"/>
        <w:autoSpaceDE/>
        <w:autoSpaceDN/>
        <w:bidi w:val="0"/>
        <w:adjustRightInd/>
        <w:snapToGrid/>
        <w:spacing w:after="120" w:line="288" w:lineRule="auto"/>
        <w:ind w:left="288" w:leftChars="0" w:firstLine="420" w:firstLineChars="200"/>
        <w:textAlignment w:val="auto"/>
      </w:pPr>
      <w:r>
        <w:rPr>
          <w:rFonts w:ascii="Noto Sans CJK SC" w:hAnsi="Noto Sans CJK SC" w:eastAsia="Noto Sans CJK SC"/>
        </w:rPr>
        <w:t>六、平台功能设计</w:t>
      </w:r>
    </w:p>
    <w:p w14:paraId="283B09C0">
      <w:pPr>
        <w:pageBreakBefore w:val="0"/>
        <w:widowControl/>
        <w:kinsoku/>
        <w:wordWrap/>
        <w:overflowPunct/>
        <w:topLinePunct w:val="0"/>
        <w:autoSpaceDE/>
        <w:autoSpaceDN/>
        <w:bidi w:val="0"/>
        <w:adjustRightInd/>
        <w:snapToGrid/>
        <w:spacing w:after="120" w:line="288" w:lineRule="auto"/>
        <w:ind w:left="288" w:leftChars="0" w:firstLine="420" w:firstLineChars="200"/>
        <w:textAlignment w:val="auto"/>
      </w:pPr>
      <w:r>
        <w:rPr>
          <w:rFonts w:ascii="Noto Sans CJK SC" w:hAnsi="Noto Sans CJK SC" w:eastAsia="Noto Sans CJK SC"/>
        </w:rPr>
        <w:t>七、典型实训场景与运行案例</w:t>
      </w:r>
    </w:p>
    <w:p w14:paraId="53D60BFD">
      <w:pPr>
        <w:pageBreakBefore w:val="0"/>
        <w:widowControl/>
        <w:kinsoku/>
        <w:wordWrap/>
        <w:overflowPunct/>
        <w:topLinePunct w:val="0"/>
        <w:autoSpaceDE/>
        <w:autoSpaceDN/>
        <w:bidi w:val="0"/>
        <w:adjustRightInd/>
        <w:snapToGrid/>
        <w:spacing w:after="120" w:line="288" w:lineRule="auto"/>
        <w:ind w:left="288" w:leftChars="0" w:firstLine="420" w:firstLineChars="200"/>
        <w:textAlignment w:val="auto"/>
      </w:pPr>
      <w:r>
        <w:rPr>
          <w:rFonts w:ascii="Noto Sans CJK SC" w:hAnsi="Noto Sans CJK SC" w:eastAsia="Noto Sans CJK SC"/>
        </w:rPr>
        <w:t>八、数据指标与评价体系</w:t>
      </w:r>
    </w:p>
    <w:p w14:paraId="6ACDED70">
      <w:pPr>
        <w:pageBreakBefore w:val="0"/>
        <w:widowControl/>
        <w:kinsoku/>
        <w:wordWrap/>
        <w:overflowPunct/>
        <w:topLinePunct w:val="0"/>
        <w:autoSpaceDE/>
        <w:autoSpaceDN/>
        <w:bidi w:val="0"/>
        <w:adjustRightInd/>
        <w:snapToGrid/>
        <w:spacing w:after="120" w:line="288" w:lineRule="auto"/>
        <w:ind w:left="288" w:leftChars="0" w:firstLine="420" w:firstLineChars="200"/>
        <w:textAlignment w:val="auto"/>
      </w:pPr>
      <w:r>
        <w:rPr>
          <w:rFonts w:ascii="Noto Sans CJK SC" w:hAnsi="Noto Sans CJK SC" w:eastAsia="Noto Sans CJK SC"/>
        </w:rPr>
        <w:t>九、技术实现与运行部署</w:t>
      </w:r>
    </w:p>
    <w:p w14:paraId="26AFF49E">
      <w:pPr>
        <w:pageBreakBefore w:val="0"/>
        <w:widowControl/>
        <w:kinsoku/>
        <w:wordWrap/>
        <w:overflowPunct/>
        <w:topLinePunct w:val="0"/>
        <w:autoSpaceDE/>
        <w:autoSpaceDN/>
        <w:bidi w:val="0"/>
        <w:adjustRightInd/>
        <w:snapToGrid/>
        <w:spacing w:after="120" w:line="288" w:lineRule="auto"/>
        <w:ind w:left="288" w:leftChars="0" w:firstLine="420" w:firstLineChars="200"/>
        <w:textAlignment w:val="auto"/>
      </w:pPr>
      <w:r>
        <w:rPr>
          <w:rFonts w:ascii="Noto Sans CJK SC" w:hAnsi="Noto Sans CJK SC" w:eastAsia="Noto Sans CJK SC"/>
        </w:rPr>
        <w:t>十、项目创新点与关键难点</w:t>
      </w:r>
    </w:p>
    <w:p w14:paraId="60EEB639">
      <w:pPr>
        <w:pageBreakBefore w:val="0"/>
        <w:widowControl/>
        <w:kinsoku/>
        <w:wordWrap/>
        <w:overflowPunct/>
        <w:topLinePunct w:val="0"/>
        <w:autoSpaceDE/>
        <w:autoSpaceDN/>
        <w:bidi w:val="0"/>
        <w:adjustRightInd/>
        <w:snapToGrid/>
        <w:spacing w:after="120" w:line="288" w:lineRule="auto"/>
        <w:ind w:left="288" w:leftChars="0" w:firstLine="420" w:firstLineChars="200"/>
        <w:textAlignment w:val="auto"/>
      </w:pPr>
      <w:r>
        <w:rPr>
          <w:rFonts w:ascii="Noto Sans CJK SC" w:hAnsi="Noto Sans CJK SC" w:eastAsia="Noto Sans CJK SC"/>
        </w:rPr>
        <w:t>十一、应用成效、推广价值与后续计划</w:t>
      </w:r>
    </w:p>
    <w:p w14:paraId="3290863C">
      <w:pPr>
        <w:pageBreakBefore w:val="0"/>
        <w:widowControl/>
        <w:kinsoku/>
        <w:wordWrap/>
        <w:overflowPunct/>
        <w:topLinePunct w:val="0"/>
        <w:autoSpaceDE/>
        <w:autoSpaceDN/>
        <w:bidi w:val="0"/>
        <w:adjustRightInd/>
        <w:snapToGrid/>
        <w:spacing w:after="120" w:line="288" w:lineRule="auto"/>
        <w:ind w:left="288" w:leftChars="0" w:firstLine="420" w:firstLineChars="200"/>
        <w:textAlignment w:val="auto"/>
      </w:pPr>
      <w:r>
        <w:rPr>
          <w:rFonts w:ascii="Noto Sans CJK SC" w:hAnsi="Noto Sans CJK SC" w:eastAsia="Noto Sans CJK SC"/>
        </w:rPr>
        <w:t>十二、结论</w:t>
      </w:r>
    </w:p>
    <w:p w14:paraId="024644AC">
      <w:pPr>
        <w:pageBreakBefore w:val="0"/>
        <w:widowControl/>
        <w:kinsoku/>
        <w:wordWrap/>
        <w:overflowPunct/>
        <w:topLinePunct w:val="0"/>
        <w:autoSpaceDE/>
        <w:autoSpaceDN/>
        <w:bidi w:val="0"/>
        <w:adjustRightInd/>
        <w:snapToGrid/>
        <w:spacing w:after="120" w:line="288" w:lineRule="auto"/>
        <w:ind w:left="288" w:leftChars="0" w:firstLine="420" w:firstLineChars="200"/>
        <w:textAlignment w:val="auto"/>
      </w:pPr>
      <w:r>
        <w:rPr>
          <w:rFonts w:ascii="Noto Sans CJK SC" w:hAnsi="Noto Sans CJK SC" w:eastAsia="Noto Sans CJK SC"/>
        </w:rPr>
        <w:t>附录：核心页面与材料清单</w:t>
      </w:r>
    </w:p>
    <w:p w14:paraId="41271AE9">
      <w:pPr>
        <w:pageBreakBefore w:val="0"/>
        <w:widowControl/>
        <w:kinsoku/>
        <w:wordWrap/>
        <w:overflowPunct/>
        <w:topLinePunct w:val="0"/>
        <w:autoSpaceDE/>
        <w:autoSpaceDN/>
        <w:bidi w:val="0"/>
        <w:adjustRightInd/>
        <w:snapToGrid/>
        <w:spacing w:after="120" w:line="288" w:lineRule="auto"/>
        <w:ind w:firstLine="420" w:firstLineChars="200"/>
        <w:jc w:val="both"/>
        <w:textAlignment w:val="auto"/>
      </w:pPr>
      <w:r>
        <w:rPr>
          <w:rFonts w:ascii="Noto Sans CJK SC" w:hAnsi="Noto Sans CJK SC" w:eastAsia="Noto Sans CJK SC"/>
        </w:rPr>
        <w:br w:type="page"/>
      </w:r>
    </w:p>
    <w:p w14:paraId="751AD60D">
      <w:pPr>
        <w:pStyle w:val="3"/>
        <w:widowControl/>
        <w:numPr>
          <w:ilvl w:val="0"/>
          <w:numId w:val="7"/>
        </w:numPr>
        <w:topLinePunct w:val="0"/>
        <w:ind w:left="0" w:leftChars="0" w:firstLine="0" w:firstLineChars="0"/>
        <w:rPr>
          <w:rFonts w:hint="eastAsia" w:ascii="黑体" w:hAnsi="黑体" w:eastAsia="黑体" w:cs="黑体"/>
          <w:b w:val="0"/>
          <w:bdr w:val="none" w:sz="0" w:space="0"/>
        </w:rPr>
      </w:pPr>
      <w:r>
        <w:t>项目摘要</w:t>
      </w:r>
    </w:p>
    <w:p w14:paraId="06C43ECB">
      <w:pPr>
        <w:pStyle w:val="19"/>
        <w:widowControl/>
        <w:rPr>
          <w:rFonts w:ascii="Times New Roman" w:hAnsi="Times New Roman" w:eastAsia="宋体" w:cs="Times New Roman"/>
          <w:sz w:val="24"/>
          <w:szCs w:val="24"/>
        </w:rPr>
      </w:pPr>
      <w:r>
        <w:rPr>
          <w:rFonts w:ascii="Times New Roman" w:hAnsi="Times New Roman" w:eastAsia="宋体" w:cs="Times New Roman"/>
          <w:sz w:val="24"/>
          <w:szCs w:val="24"/>
        </w:rPr>
        <w:t>TrafficInsight 是面向交通运输类专业课程建设与教学展示的智慧交通数字孪生教学平台。项目以城市片区路网、局部交叉口和典型交通事件为对象，将交通运行样例数据与 GIS 路网、局部 3D 交叉口、信号机、检测器、车辆流、事故点、管制区域和绕行路线进行联动映射，形成可观察、可操作、可推演、可评价的课程实训环境。</w:t>
      </w:r>
    </w:p>
    <w:p w14:paraId="0AAD97EB">
      <w:pPr>
        <w:pStyle w:val="19"/>
        <w:widowControl/>
        <w:rPr>
          <w:rFonts w:ascii="Times New Roman" w:hAnsi="Times New Roman" w:eastAsia="宋体" w:cs="Times New Roman"/>
          <w:sz w:val="24"/>
          <w:szCs w:val="24"/>
        </w:rPr>
      </w:pPr>
      <w:r>
        <w:rPr>
          <w:rFonts w:ascii="Times New Roman" w:hAnsi="Times New Roman" w:eastAsia="宋体" w:cs="Times New Roman"/>
          <w:sz w:val="24"/>
          <w:szCs w:val="24"/>
        </w:rPr>
        <w:t>项目围绕《智能交通系统》课程中的交通状态感知、交通数据分析、交通控制、事件管控、智能决策和评价复盘等教学内容，构建“数据感知—状态诊断—数模映射—控制决策—仿真推演—评价沉淀”的完整闭环。平台不是单纯展示交通数据，而是把真实智慧交通业务流程转化为学生可完成的实训任务和教师可评价的教学证据。</w:t>
      </w:r>
    </w:p>
    <w:p w14:paraId="449F21DB">
      <w:pPr>
        <w:pStyle w:val="19"/>
        <w:widowControl/>
        <w:rPr>
          <w:rFonts w:ascii="Times New Roman" w:hAnsi="Times New Roman" w:eastAsia="宋体" w:cs="Times New Roman"/>
          <w:sz w:val="24"/>
          <w:szCs w:val="24"/>
        </w:rPr>
      </w:pPr>
      <w:r>
        <w:rPr>
          <w:rFonts w:ascii="Times New Roman" w:hAnsi="Times New Roman" w:eastAsia="宋体" w:cs="Times New Roman"/>
          <w:sz w:val="24"/>
          <w:szCs w:val="24"/>
        </w:rPr>
        <w:t>报告基于项目现有系统页面、操作手册和项目说明材料进行整合，重点说明项目背景、总体架构、功能模块、典型实训、数据指标、技术实现、创新价值、应用成效和后续建设计划。</w:t>
      </w:r>
    </w:p>
    <w:p w14:paraId="471CF674">
      <w:pPr>
        <w:pStyle w:val="3"/>
        <w:widowControl/>
        <w:numPr>
          <w:ilvl w:val="0"/>
          <w:numId w:val="7"/>
        </w:numPr>
        <w:topLinePunct w:val="0"/>
        <w:ind w:left="0" w:leftChars="0" w:firstLine="0" w:firstLineChars="0"/>
        <w:rPr>
          <w:rFonts w:hint="eastAsia" w:ascii="黑体" w:hAnsi="黑体" w:eastAsia="黑体" w:cs="黑体"/>
          <w:b w:val="0"/>
          <w:bdr w:val="none" w:sz="0" w:space="0"/>
        </w:rPr>
      </w:pPr>
      <w:r>
        <w:t>项目背景与建设必要性</w:t>
      </w:r>
    </w:p>
    <w:p w14:paraId="64E2A117">
      <w:pPr>
        <w:pStyle w:val="4"/>
        <w:widowControl/>
        <w:numPr>
          <w:ilvl w:val="0"/>
          <w:numId w:val="8"/>
        </w:numPr>
        <w:ind w:left="0" w:leftChars="0" w:firstLine="0" w:firstLineChars="0"/>
        <w:rPr>
          <w:rFonts w:hint="eastAsia" w:ascii="黑体" w:hAnsi="黑体" w:eastAsia="黑体" w:cs="黑体"/>
          <w:b w:val="0"/>
          <w:bdr w:val="none" w:sz="0" w:space="0"/>
        </w:rPr>
      </w:pPr>
      <w:r>
        <w:t>智慧交通课程教学痛点</w:t>
      </w:r>
    </w:p>
    <w:p w14:paraId="6C516909">
      <w:pPr>
        <w:pStyle w:val="19"/>
        <w:widowControl/>
        <w:rPr>
          <w:rFonts w:ascii="Times New Roman" w:hAnsi="Times New Roman" w:eastAsia="宋体" w:cs="Times New Roman"/>
          <w:sz w:val="24"/>
          <w:szCs w:val="24"/>
        </w:rPr>
      </w:pPr>
      <w:r>
        <w:rPr>
          <w:rFonts w:ascii="Times New Roman" w:hAnsi="Times New Roman" w:eastAsia="宋体" w:cs="Times New Roman"/>
          <w:sz w:val="24"/>
          <w:szCs w:val="24"/>
        </w:rPr>
        <w:t>智慧交通系统课程具有数据来源复杂、状态变化动态、控制策略效果难以现场复现等特点。传统教学中，学生通常通过静态案例、二维图表或单一仿真软件理解交通运行规律，难以形成从数据读取到控制决策再到效果评价的完整认知链条。</w:t>
      </w:r>
    </w:p>
    <w:p w14:paraId="1CE6D121">
      <w:pPr>
        <w:pStyle w:val="19"/>
        <w:widowControl/>
        <w:rPr>
          <w:rFonts w:ascii="Times New Roman" w:hAnsi="Times New Roman" w:eastAsia="宋体" w:cs="Times New Roman"/>
          <w:sz w:val="24"/>
          <w:szCs w:val="24"/>
        </w:rPr>
      </w:pPr>
      <w:r>
        <w:rPr>
          <w:rFonts w:ascii="Times New Roman" w:hAnsi="Times New Roman" w:eastAsia="宋体" w:cs="Times New Roman"/>
          <w:sz w:val="24"/>
          <w:szCs w:val="24"/>
        </w:rPr>
        <w:t>在交通运输类专业教学中，交通流、信号配时、事件处置、路网管控、交通安全风险等知识点之间存在明显的系统关联。若缺少可交互、可验证、可复盘的平台支撑，学生容易停留在“看懂指标”层面，难以进入“依据数据提出方案并解释效果”的能力训练阶段。</w:t>
      </w:r>
    </w:p>
    <w:p w14:paraId="5B003C57">
      <w:pPr>
        <w:pStyle w:val="4"/>
        <w:widowControl/>
        <w:numPr>
          <w:ilvl w:val="0"/>
          <w:numId w:val="8"/>
        </w:numPr>
        <w:ind w:left="0" w:leftChars="0" w:firstLine="0" w:firstLineChars="0"/>
        <w:rPr>
          <w:rFonts w:hint="eastAsia" w:ascii="黑体" w:hAnsi="黑体" w:eastAsia="黑体" w:cs="黑体"/>
          <w:b w:val="0"/>
          <w:bdr w:val="none" w:sz="0" w:space="0"/>
        </w:rPr>
      </w:pPr>
      <w:r>
        <w:t>数字孪生教学应用必要性</w:t>
      </w:r>
    </w:p>
    <w:p w14:paraId="40BDC04B">
      <w:pPr>
        <w:pStyle w:val="19"/>
        <w:widowControl/>
        <w:rPr>
          <w:rFonts w:ascii="Times New Roman" w:hAnsi="Times New Roman" w:eastAsia="宋体" w:cs="Times New Roman"/>
          <w:sz w:val="24"/>
          <w:szCs w:val="24"/>
        </w:rPr>
      </w:pPr>
      <w:r>
        <w:rPr>
          <w:rFonts w:ascii="Times New Roman" w:hAnsi="Times New Roman" w:eastAsia="宋体" w:cs="Times New Roman"/>
          <w:sz w:val="24"/>
          <w:szCs w:val="24"/>
        </w:rPr>
        <w:t>数字孪生能够把道路、车道、车辆、信号灯、检测器、事件点和控制方案映射为可视化对象，使学生在空间场景中理解交通状态变化。相比普通数据看板，数字孪生教学平台能够同时呈现“数据指标、空间对象、控制参数和结果反馈”，更符合交通系统综合性、动态性和实践性的教学要求。</w:t>
      </w:r>
    </w:p>
    <w:p w14:paraId="35DD651D">
      <w:pPr>
        <w:pStyle w:val="19"/>
        <w:widowControl/>
        <w:rPr>
          <w:rFonts w:ascii="Times New Roman" w:hAnsi="Times New Roman" w:eastAsia="宋体" w:cs="Times New Roman"/>
          <w:sz w:val="24"/>
          <w:szCs w:val="24"/>
        </w:rPr>
      </w:pPr>
      <w:r>
        <w:rPr>
          <w:rFonts w:ascii="Times New Roman" w:hAnsi="Times New Roman" w:eastAsia="宋体" w:cs="Times New Roman"/>
          <w:sz w:val="24"/>
          <w:szCs w:val="24"/>
        </w:rPr>
        <w:t>TrafficInsight 的建设重点不是追求复杂建模，而是构建一条稳定、清晰、可展示的教学技术链：用统一样例数据驱动可视化页面，用 GIS/3D 数模增强空间理解，用仿真推演形成方案比较，用评价复盘沉淀学习证据。</w:t>
      </w:r>
    </w:p>
    <w:p w14:paraId="1E726891">
      <w:pPr>
        <w:pStyle w:val="3"/>
        <w:widowControl/>
        <w:numPr>
          <w:ilvl w:val="0"/>
          <w:numId w:val="7"/>
        </w:numPr>
        <w:topLinePunct w:val="0"/>
        <w:ind w:left="0" w:leftChars="0" w:firstLine="0" w:firstLineChars="0"/>
        <w:rPr>
          <w:rFonts w:hint="eastAsia" w:ascii="黑体" w:hAnsi="黑体" w:eastAsia="黑体" w:cs="黑体"/>
          <w:b w:val="0"/>
          <w:bdr w:val="none" w:sz="0" w:space="0"/>
        </w:rPr>
      </w:pPr>
      <w:r>
        <w:t>项目定位与建设目标</w:t>
      </w:r>
    </w:p>
    <w:p w14:paraId="56D583AB">
      <w:pPr>
        <w:pStyle w:val="4"/>
        <w:widowControl/>
        <w:numPr>
          <w:ilvl w:val="0"/>
          <w:numId w:val="9"/>
        </w:numPr>
        <w:ind w:left="0" w:leftChars="0" w:firstLine="0" w:firstLineChars="0"/>
        <w:rPr>
          <w:rFonts w:hint="eastAsia" w:ascii="黑体" w:hAnsi="黑体" w:eastAsia="黑体" w:cs="黑体"/>
          <w:b w:val="0"/>
          <w:bdr w:val="none" w:sz="0" w:space="0"/>
        </w:rPr>
      </w:pPr>
      <w:r>
        <w:t>项目定位</w:t>
      </w:r>
    </w:p>
    <w:tbl>
      <w:tblPr>
        <w:tblStyle w:val="3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1"/>
        <w:gridCol w:w="9083"/>
      </w:tblGrid>
      <w:tr w14:paraId="04E7DFAF">
        <w:trPr>
          <w:trHeight w:val="0" w:hRule="atLeast"/>
          <w:tblHeader/>
          <w:jc w:val="center"/>
        </w:trPr>
        <w:tc>
          <w:tcPr>
            <w:tcW w:w="588" w:type="pct"/>
            <w:shd w:val="clear" w:color="auto" w:fill="0B4F80"/>
            <w:vAlign w:val="center"/>
          </w:tcPr>
          <w:p w14:paraId="467D7EB2">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b/>
                <w:sz w:val="19"/>
              </w:rPr>
            </w:pPr>
            <w:r>
              <w:rPr>
                <w:rFonts w:ascii="Noto Sans CJK SC" w:hAnsi="Noto Sans CJK SC" w:eastAsia="Noto Sans CJK SC"/>
                <w:b/>
                <w:color w:val="FFFFFF"/>
                <w:sz w:val="19"/>
              </w:rPr>
              <w:t>定位维度</w:t>
            </w:r>
          </w:p>
        </w:tc>
        <w:tc>
          <w:tcPr>
            <w:tcW w:w="4411" w:type="pct"/>
            <w:shd w:val="clear" w:color="auto" w:fill="0B4F80"/>
            <w:vAlign w:val="center"/>
          </w:tcPr>
          <w:p w14:paraId="41637066">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b/>
                <w:sz w:val="19"/>
              </w:rPr>
            </w:pPr>
            <w:r>
              <w:rPr>
                <w:rFonts w:ascii="Noto Sans CJK SC" w:hAnsi="Noto Sans CJK SC" w:eastAsia="Noto Sans CJK SC"/>
                <w:b/>
                <w:color w:val="FFFFFF"/>
                <w:sz w:val="19"/>
              </w:rPr>
              <w:t>具体说明</w:t>
            </w:r>
          </w:p>
        </w:tc>
      </w:tr>
      <w:tr w14:paraId="771EFCCE">
        <w:trPr>
          <w:trHeight w:val="0" w:hRule="atLeast"/>
          <w:jc w:val="center"/>
        </w:trPr>
        <w:tc>
          <w:tcPr>
            <w:tcW w:w="588" w:type="pct"/>
            <w:vAlign w:val="center"/>
          </w:tcPr>
          <w:p w14:paraId="6B9757B0">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color w:val="0B4F80"/>
                <w:sz w:val="19"/>
              </w:rPr>
              <w:t>教学定位</w:t>
            </w:r>
          </w:p>
        </w:tc>
        <w:tc>
          <w:tcPr>
            <w:tcW w:w="4411" w:type="pct"/>
            <w:vAlign w:val="center"/>
          </w:tcPr>
          <w:p w14:paraId="09E419DA">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val="0"/>
                <w:sz w:val="19"/>
              </w:rPr>
              <w:t>把真实智慧交通业务流程转化为课程实训任务，形成可观察、可操作、可推演、可评价的课堂教学环境。</w:t>
            </w:r>
          </w:p>
        </w:tc>
      </w:tr>
      <w:tr w14:paraId="225D4A85">
        <w:trPr>
          <w:trHeight w:val="0" w:hRule="atLeast"/>
          <w:jc w:val="center"/>
        </w:trPr>
        <w:tc>
          <w:tcPr>
            <w:tcW w:w="588" w:type="pct"/>
            <w:vAlign w:val="center"/>
          </w:tcPr>
          <w:p w14:paraId="3780F199">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color w:val="0B4F80"/>
                <w:sz w:val="19"/>
              </w:rPr>
              <w:t>技术定位</w:t>
            </w:r>
          </w:p>
        </w:tc>
        <w:tc>
          <w:tcPr>
            <w:tcW w:w="4411" w:type="pct"/>
            <w:vAlign w:val="center"/>
          </w:tcPr>
          <w:p w14:paraId="781F0E77">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val="0"/>
                <w:sz w:val="19"/>
              </w:rPr>
              <w:t>以交通运行样例数据为基础，以 GIS/3D 数模映射为载体，支撑交通监控、预测、优化、控制和教学评价。</w:t>
            </w:r>
          </w:p>
        </w:tc>
      </w:tr>
      <w:tr w14:paraId="74B2612E">
        <w:trPr>
          <w:trHeight w:val="0" w:hRule="atLeast"/>
          <w:jc w:val="center"/>
        </w:trPr>
        <w:tc>
          <w:tcPr>
            <w:tcW w:w="588" w:type="pct"/>
            <w:vAlign w:val="center"/>
          </w:tcPr>
          <w:p w14:paraId="7F355DDC">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color w:val="0B4F80"/>
                <w:sz w:val="19"/>
              </w:rPr>
              <w:t>应用定位</w:t>
            </w:r>
          </w:p>
        </w:tc>
        <w:tc>
          <w:tcPr>
            <w:tcW w:w="4411" w:type="pct"/>
            <w:vAlign w:val="center"/>
          </w:tcPr>
          <w:p w14:paraId="48A2119B">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val="0"/>
                <w:sz w:val="19"/>
              </w:rPr>
              <w:t>服务课程实训、项目汇报、比赛答辩、成果展示和后续教学资源建设。</w:t>
            </w:r>
          </w:p>
        </w:tc>
      </w:tr>
      <w:tr w14:paraId="64055B36">
        <w:trPr>
          <w:trHeight w:val="0" w:hRule="atLeast"/>
          <w:jc w:val="center"/>
        </w:trPr>
        <w:tc>
          <w:tcPr>
            <w:tcW w:w="588" w:type="pct"/>
            <w:vAlign w:val="center"/>
          </w:tcPr>
          <w:p w14:paraId="7944F740">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color w:val="0B4F80"/>
                <w:sz w:val="19"/>
              </w:rPr>
              <w:t>边界说明</w:t>
            </w:r>
          </w:p>
        </w:tc>
        <w:tc>
          <w:tcPr>
            <w:tcW w:w="4411" w:type="pct"/>
            <w:vAlign w:val="center"/>
          </w:tcPr>
          <w:p w14:paraId="498E57E1">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val="0"/>
                <w:sz w:val="19"/>
              </w:rPr>
              <w:t>当前系统为教学演示版，采用教学仿真样例数据验证流程与方法，后续可接入真实交通数据接口和更精细化仿真模型。</w:t>
            </w:r>
          </w:p>
        </w:tc>
      </w:tr>
    </w:tbl>
    <w:p w14:paraId="0970C4BD">
      <w:pPr>
        <w:pStyle w:val="4"/>
        <w:widowControl/>
        <w:numPr>
          <w:ilvl w:val="0"/>
          <w:numId w:val="9"/>
        </w:numPr>
        <w:ind w:left="0" w:leftChars="0" w:firstLine="0" w:firstLineChars="0"/>
        <w:rPr>
          <w:rFonts w:hint="eastAsia" w:ascii="黑体" w:hAnsi="黑体" w:eastAsia="黑体" w:cs="黑体"/>
          <w:b w:val="0"/>
          <w:bdr w:val="none" w:sz="0" w:space="0"/>
        </w:rPr>
      </w:pPr>
      <w:r>
        <w:t>建设目标</w:t>
      </w:r>
    </w:p>
    <w:tbl>
      <w:tblPr>
        <w:tblStyle w:val="3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7"/>
        <w:gridCol w:w="8947"/>
      </w:tblGrid>
      <w:tr w14:paraId="12C6DC20">
        <w:trPr>
          <w:trHeight w:val="0" w:hRule="atLeast"/>
          <w:tblHeader/>
          <w:jc w:val="center"/>
        </w:trPr>
        <w:tc>
          <w:tcPr>
            <w:tcW w:w="654" w:type="pct"/>
            <w:shd w:val="clear" w:color="auto" w:fill="0B4F80"/>
            <w:vAlign w:val="center"/>
          </w:tcPr>
          <w:p w14:paraId="14CA04E5">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b/>
                <w:sz w:val="19"/>
              </w:rPr>
            </w:pPr>
            <w:r>
              <w:rPr>
                <w:rFonts w:ascii="Noto Sans CJK SC" w:hAnsi="Noto Sans CJK SC" w:eastAsia="Noto Sans CJK SC"/>
                <w:b/>
                <w:color w:val="FFFFFF"/>
                <w:sz w:val="19"/>
              </w:rPr>
              <w:t>目标类型</w:t>
            </w:r>
          </w:p>
        </w:tc>
        <w:tc>
          <w:tcPr>
            <w:tcW w:w="4345" w:type="pct"/>
            <w:shd w:val="clear" w:color="auto" w:fill="0B4F80"/>
            <w:vAlign w:val="center"/>
          </w:tcPr>
          <w:p w14:paraId="207E508F">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b/>
                <w:sz w:val="19"/>
              </w:rPr>
            </w:pPr>
            <w:r>
              <w:rPr>
                <w:rFonts w:ascii="Noto Sans CJK SC" w:hAnsi="Noto Sans CJK SC" w:eastAsia="Noto Sans CJK SC"/>
                <w:b/>
                <w:color w:val="FFFFFF"/>
                <w:sz w:val="19"/>
              </w:rPr>
              <w:t>目标描述</w:t>
            </w:r>
          </w:p>
        </w:tc>
      </w:tr>
      <w:tr w14:paraId="3C98316C">
        <w:trPr>
          <w:trHeight w:val="0" w:hRule="atLeast"/>
          <w:jc w:val="center"/>
        </w:trPr>
        <w:tc>
          <w:tcPr>
            <w:tcW w:w="654" w:type="pct"/>
            <w:vAlign w:val="center"/>
          </w:tcPr>
          <w:p w14:paraId="0A232BE3">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color w:val="0B4F80"/>
                <w:sz w:val="19"/>
              </w:rPr>
              <w:t>知识目标</w:t>
            </w:r>
          </w:p>
        </w:tc>
        <w:tc>
          <w:tcPr>
            <w:tcW w:w="4345" w:type="pct"/>
            <w:vAlign w:val="center"/>
          </w:tcPr>
          <w:p w14:paraId="02FEAA62">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val="0"/>
                <w:sz w:val="19"/>
              </w:rPr>
              <w:t>帮助学生掌握交通运行状态、信号控制、交通事件和评价指标的基本概念。</w:t>
            </w:r>
          </w:p>
        </w:tc>
      </w:tr>
      <w:tr w14:paraId="6F0AB753">
        <w:trPr>
          <w:trHeight w:val="0" w:hRule="atLeast"/>
          <w:jc w:val="center"/>
        </w:trPr>
        <w:tc>
          <w:tcPr>
            <w:tcW w:w="654" w:type="pct"/>
            <w:vAlign w:val="center"/>
          </w:tcPr>
          <w:p w14:paraId="5AAE366F">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color w:val="0B4F80"/>
                <w:sz w:val="19"/>
              </w:rPr>
              <w:t>能力目标</w:t>
            </w:r>
          </w:p>
        </w:tc>
        <w:tc>
          <w:tcPr>
            <w:tcW w:w="4345" w:type="pct"/>
            <w:vAlign w:val="center"/>
          </w:tcPr>
          <w:p w14:paraId="4BEAC51F">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val="0"/>
                <w:sz w:val="19"/>
              </w:rPr>
              <w:t>训练学生完成交通数据读取、拥堵诊断、方案设计、仿真解释和复盘表达。</w:t>
            </w:r>
          </w:p>
        </w:tc>
      </w:tr>
      <w:tr w14:paraId="580338CF">
        <w:trPr>
          <w:trHeight w:val="0" w:hRule="atLeast"/>
          <w:jc w:val="center"/>
        </w:trPr>
        <w:tc>
          <w:tcPr>
            <w:tcW w:w="654" w:type="pct"/>
            <w:vAlign w:val="center"/>
          </w:tcPr>
          <w:p w14:paraId="4F1FE5FB">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color w:val="0B4F80"/>
                <w:sz w:val="19"/>
              </w:rPr>
              <w:t>素养目标</w:t>
            </w:r>
          </w:p>
        </w:tc>
        <w:tc>
          <w:tcPr>
            <w:tcW w:w="4345" w:type="pct"/>
            <w:vAlign w:val="center"/>
          </w:tcPr>
          <w:p w14:paraId="6F8133D9">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val="0"/>
                <w:sz w:val="19"/>
              </w:rPr>
              <w:t>形成数据驱动、系统思维和交通安全治理意识。</w:t>
            </w:r>
          </w:p>
        </w:tc>
      </w:tr>
      <w:tr w14:paraId="211660D3">
        <w:trPr>
          <w:trHeight w:val="0" w:hRule="atLeast"/>
          <w:jc w:val="center"/>
        </w:trPr>
        <w:tc>
          <w:tcPr>
            <w:tcW w:w="654" w:type="pct"/>
            <w:vAlign w:val="center"/>
          </w:tcPr>
          <w:p w14:paraId="2DE3D09D">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color w:val="0B4F80"/>
                <w:sz w:val="19"/>
              </w:rPr>
              <w:t>创新目标</w:t>
            </w:r>
          </w:p>
        </w:tc>
        <w:tc>
          <w:tcPr>
            <w:tcW w:w="4345" w:type="pct"/>
            <w:vAlign w:val="center"/>
          </w:tcPr>
          <w:p w14:paraId="1AC59439">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val="0"/>
                <w:sz w:val="19"/>
              </w:rPr>
              <w:t>理解智慧交通数字孪生技术在教学、科研展示和行业应用中的价值。</w:t>
            </w:r>
          </w:p>
        </w:tc>
      </w:tr>
    </w:tbl>
    <w:p w14:paraId="1FA71C1D">
      <w:pPr>
        <w:pStyle w:val="3"/>
        <w:widowControl/>
        <w:numPr>
          <w:ilvl w:val="0"/>
          <w:numId w:val="7"/>
        </w:numPr>
        <w:topLinePunct w:val="0"/>
        <w:ind w:left="0" w:leftChars="0" w:firstLine="0" w:firstLineChars="0"/>
        <w:rPr>
          <w:rFonts w:hint="eastAsia" w:ascii="黑体" w:hAnsi="黑体" w:eastAsia="黑体" w:cs="黑体"/>
          <w:b w:val="0"/>
          <w:bdr w:val="none" w:sz="0" w:space="0"/>
        </w:rPr>
      </w:pPr>
      <w:r>
        <w:t>课程支撑关系与教学目标</w:t>
      </w:r>
    </w:p>
    <w:tbl>
      <w:tblPr>
        <w:tblStyle w:val="3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4"/>
        <w:gridCol w:w="4431"/>
        <w:gridCol w:w="4019"/>
      </w:tblGrid>
      <w:tr w14:paraId="51814235">
        <w:trPr>
          <w:trHeight w:val="0" w:hRule="atLeast"/>
          <w:tblHeader/>
          <w:jc w:val="center"/>
        </w:trPr>
        <w:tc>
          <w:tcPr>
            <w:tcW w:w="896" w:type="pct"/>
            <w:shd w:val="clear" w:color="auto" w:fill="0B4F80"/>
            <w:vAlign w:val="center"/>
          </w:tcPr>
          <w:p w14:paraId="477CC6E5">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b/>
                <w:sz w:val="19"/>
              </w:rPr>
            </w:pPr>
            <w:r>
              <w:rPr>
                <w:rFonts w:ascii="Noto Sans CJK SC" w:hAnsi="Noto Sans CJK SC" w:eastAsia="Noto Sans CJK SC"/>
                <w:b/>
                <w:color w:val="FFFFFF"/>
                <w:sz w:val="19"/>
              </w:rPr>
              <w:t>课程知识点</w:t>
            </w:r>
          </w:p>
        </w:tc>
        <w:tc>
          <w:tcPr>
            <w:tcW w:w="2152" w:type="pct"/>
            <w:shd w:val="clear" w:color="auto" w:fill="0B4F80"/>
            <w:vAlign w:val="center"/>
          </w:tcPr>
          <w:p w14:paraId="5CAEA843">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b/>
                <w:sz w:val="19"/>
              </w:rPr>
            </w:pPr>
            <w:r>
              <w:rPr>
                <w:rFonts w:ascii="Noto Sans CJK SC" w:hAnsi="Noto Sans CJK SC" w:eastAsia="Noto Sans CJK SC"/>
                <w:b/>
                <w:color w:val="FFFFFF"/>
                <w:sz w:val="19"/>
              </w:rPr>
              <w:t>系统支撑模块</w:t>
            </w:r>
          </w:p>
        </w:tc>
        <w:tc>
          <w:tcPr>
            <w:tcW w:w="1950" w:type="pct"/>
            <w:shd w:val="clear" w:color="auto" w:fill="0B4F80"/>
            <w:vAlign w:val="center"/>
          </w:tcPr>
          <w:p w14:paraId="45EDD6CC">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b/>
                <w:sz w:val="19"/>
              </w:rPr>
            </w:pPr>
            <w:r>
              <w:rPr>
                <w:rFonts w:ascii="Noto Sans CJK SC" w:hAnsi="Noto Sans CJK SC" w:eastAsia="Noto Sans CJK SC"/>
                <w:b/>
                <w:color w:val="FFFFFF"/>
                <w:sz w:val="19"/>
              </w:rPr>
              <w:t>学生能力目标</w:t>
            </w:r>
          </w:p>
        </w:tc>
      </w:tr>
      <w:tr w14:paraId="3FDED198">
        <w:trPr>
          <w:trHeight w:val="0" w:hRule="atLeast"/>
          <w:jc w:val="center"/>
        </w:trPr>
        <w:tc>
          <w:tcPr>
            <w:tcW w:w="896" w:type="pct"/>
            <w:vAlign w:val="center"/>
          </w:tcPr>
          <w:p w14:paraId="70EC2939">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交通信息采集与检测</w:t>
            </w:r>
          </w:p>
        </w:tc>
        <w:tc>
          <w:tcPr>
            <w:tcW w:w="2152" w:type="pct"/>
            <w:vAlign w:val="center"/>
          </w:tcPr>
          <w:p w14:paraId="176A5517">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数据感知、检测器对象、视频检测器、ETC 超速评估</w:t>
            </w:r>
          </w:p>
        </w:tc>
        <w:tc>
          <w:tcPr>
            <w:tcW w:w="1950" w:type="pct"/>
            <w:vAlign w:val="center"/>
          </w:tcPr>
          <w:p w14:paraId="1018312B">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理解交通数据来源，判断指标含义与采集边界。</w:t>
            </w:r>
          </w:p>
        </w:tc>
      </w:tr>
      <w:tr w14:paraId="09D1ECF1">
        <w:trPr>
          <w:trHeight w:val="0" w:hRule="atLeast"/>
          <w:jc w:val="center"/>
        </w:trPr>
        <w:tc>
          <w:tcPr>
            <w:tcW w:w="896" w:type="pct"/>
            <w:vAlign w:val="center"/>
          </w:tcPr>
          <w:p w14:paraId="2D55A56A">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交通状态评价</w:t>
            </w:r>
          </w:p>
        </w:tc>
        <w:tc>
          <w:tcPr>
            <w:tcW w:w="2152" w:type="pct"/>
            <w:vAlign w:val="center"/>
          </w:tcPr>
          <w:p w14:paraId="54B93072">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数字孪生驾驶舱、通行指数、速度、流量、排队长度</w:t>
            </w:r>
          </w:p>
        </w:tc>
        <w:tc>
          <w:tcPr>
            <w:tcW w:w="1950" w:type="pct"/>
            <w:vAlign w:val="center"/>
          </w:tcPr>
          <w:p w14:paraId="63FB8EEC">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基于指标判断拥堵、缓行、畅通和异常状态。</w:t>
            </w:r>
          </w:p>
        </w:tc>
      </w:tr>
      <w:tr w14:paraId="43DD845C">
        <w:trPr>
          <w:trHeight w:val="0" w:hRule="atLeast"/>
          <w:jc w:val="center"/>
        </w:trPr>
        <w:tc>
          <w:tcPr>
            <w:tcW w:w="896" w:type="pct"/>
            <w:vAlign w:val="center"/>
          </w:tcPr>
          <w:p w14:paraId="67854EB8">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信号控制与优化</w:t>
            </w:r>
          </w:p>
        </w:tc>
        <w:tc>
          <w:tcPr>
            <w:tcW w:w="2152" w:type="pct"/>
            <w:vAlign w:val="center"/>
          </w:tcPr>
          <w:p w14:paraId="66A2969A">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学生端、仿真推演、信号周期、绿信比、相位方案</w:t>
            </w:r>
          </w:p>
        </w:tc>
        <w:tc>
          <w:tcPr>
            <w:tcW w:w="1950" w:type="pct"/>
            <w:vAlign w:val="center"/>
          </w:tcPr>
          <w:p w14:paraId="58947808">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设置控制参数，比较优化前后指标变化。</w:t>
            </w:r>
          </w:p>
        </w:tc>
      </w:tr>
      <w:tr w14:paraId="42B3BCEA">
        <w:trPr>
          <w:trHeight w:val="0" w:hRule="atLeast"/>
          <w:jc w:val="center"/>
        </w:trPr>
        <w:tc>
          <w:tcPr>
            <w:tcW w:w="896" w:type="pct"/>
            <w:vAlign w:val="center"/>
          </w:tcPr>
          <w:p w14:paraId="1B56A6BF">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交通事件管控</w:t>
            </w:r>
          </w:p>
        </w:tc>
        <w:tc>
          <w:tcPr>
            <w:tcW w:w="2152" w:type="pct"/>
            <w:vAlign w:val="center"/>
          </w:tcPr>
          <w:p w14:paraId="203030EB">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事故态势、事件点、管制区域、绕行路线、应急评分</w:t>
            </w:r>
          </w:p>
        </w:tc>
        <w:tc>
          <w:tcPr>
            <w:tcW w:w="1950" w:type="pct"/>
            <w:vAlign w:val="center"/>
          </w:tcPr>
          <w:p w14:paraId="64F0A4AE">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识别事件影响范围并制定管控策略。</w:t>
            </w:r>
          </w:p>
        </w:tc>
      </w:tr>
      <w:tr w14:paraId="39BC8F23">
        <w:trPr>
          <w:trHeight w:val="0" w:hRule="atLeast"/>
          <w:jc w:val="center"/>
        </w:trPr>
        <w:tc>
          <w:tcPr>
            <w:tcW w:w="896" w:type="pct"/>
            <w:vAlign w:val="center"/>
          </w:tcPr>
          <w:p w14:paraId="7080480C">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智能交通决策支持</w:t>
            </w:r>
          </w:p>
        </w:tc>
        <w:tc>
          <w:tcPr>
            <w:tcW w:w="2152" w:type="pct"/>
            <w:vAlign w:val="center"/>
          </w:tcPr>
          <w:p w14:paraId="6763CD43">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3D 数模、方案推演、系统点评、评价复盘</w:t>
            </w:r>
          </w:p>
        </w:tc>
        <w:tc>
          <w:tcPr>
            <w:tcW w:w="1950" w:type="pct"/>
            <w:vAlign w:val="center"/>
          </w:tcPr>
          <w:p w14:paraId="082871A1">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解释系统推演结果并形成决策依据。</w:t>
            </w:r>
          </w:p>
        </w:tc>
      </w:tr>
      <w:tr w14:paraId="5E8C5E3A">
        <w:trPr>
          <w:trHeight w:val="0" w:hRule="atLeast"/>
          <w:jc w:val="center"/>
        </w:trPr>
        <w:tc>
          <w:tcPr>
            <w:tcW w:w="896" w:type="pct"/>
            <w:vAlign w:val="center"/>
          </w:tcPr>
          <w:p w14:paraId="683E6439">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课程评价与复盘</w:t>
            </w:r>
          </w:p>
        </w:tc>
        <w:tc>
          <w:tcPr>
            <w:tcW w:w="2152" w:type="pct"/>
            <w:vAlign w:val="center"/>
          </w:tcPr>
          <w:p w14:paraId="29BEF211">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评价复盘、能力雷达、操作时间线、实训报告导出</w:t>
            </w:r>
          </w:p>
        </w:tc>
        <w:tc>
          <w:tcPr>
            <w:tcW w:w="1950" w:type="pct"/>
            <w:vAlign w:val="center"/>
          </w:tcPr>
          <w:p w14:paraId="7FA614FE">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完成学习证据归档和结构化反思。</w:t>
            </w:r>
          </w:p>
        </w:tc>
      </w:tr>
      <w:tr w14:paraId="4C2064D1">
        <w:trPr>
          <w:trHeight w:val="0" w:hRule="atLeast"/>
          <w:jc w:val="center"/>
        </w:trPr>
        <w:tc>
          <w:tcPr>
            <w:tcW w:w="5000" w:type="pct"/>
            <w:gridSpan w:val="3"/>
            <w:shd w:val="clear" w:color="auto" w:fill="0B4F80"/>
            <w:vAlign w:val="center"/>
          </w:tcPr>
          <w:p w14:paraId="06B90368">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both"/>
              <w:textAlignment w:val="auto"/>
            </w:pPr>
            <w:r>
              <w:rPr>
                <w:rFonts w:ascii="Noto Sans CJK SC" w:hAnsi="Noto Sans CJK SC" w:eastAsia="Noto Sans CJK SC"/>
                <w:b/>
                <w:color w:val="FFFFFF"/>
                <w:sz w:val="20"/>
              </w:rPr>
              <w:t>教学组织提示</w:t>
            </w:r>
          </w:p>
        </w:tc>
      </w:tr>
      <w:tr w14:paraId="6BD6EC1D">
        <w:trPr>
          <w:trHeight w:val="0" w:hRule="atLeast"/>
          <w:jc w:val="center"/>
        </w:trPr>
        <w:tc>
          <w:tcPr>
            <w:tcW w:w="5000" w:type="pct"/>
            <w:gridSpan w:val="3"/>
            <w:shd w:val="clear" w:color="auto" w:fill="F2F7FC"/>
            <w:vAlign w:val="center"/>
          </w:tcPr>
          <w:p w14:paraId="41EAAAB2">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pPr>
            <w:r>
              <w:rPr>
                <w:rFonts w:ascii="Noto Sans CJK SC" w:hAnsi="Noto Sans CJK SC" w:eastAsia="Noto Sans CJK SC"/>
                <w:b w:val="0"/>
                <w:color w:val="1F2933"/>
                <w:sz w:val="19"/>
              </w:rPr>
              <w:t>教师使用系统时，不宜只介绍页面功能，应围绕“学生要完成什么任务、依据什么数据判断、提出什么方案、系统如何推演、教师如何评价”展开。</w:t>
            </w:r>
          </w:p>
        </w:tc>
      </w:tr>
    </w:tbl>
    <w:p w14:paraId="5B91F96F">
      <w:pPr>
        <w:pStyle w:val="3"/>
        <w:widowControl/>
        <w:numPr>
          <w:ilvl w:val="0"/>
          <w:numId w:val="7"/>
        </w:numPr>
        <w:topLinePunct w:val="0"/>
        <w:ind w:left="0" w:leftChars="0" w:firstLine="0" w:firstLineChars="0"/>
        <w:rPr>
          <w:rFonts w:hint="eastAsia" w:ascii="黑体" w:hAnsi="黑体" w:eastAsia="黑体" w:cs="黑体"/>
          <w:b w:val="0"/>
          <w:bdr w:val="none" w:sz="0" w:space="0"/>
        </w:rPr>
      </w:pPr>
      <w:r>
        <w:t>系统总体架构与技术路线</w:t>
      </w:r>
    </w:p>
    <w:p w14:paraId="719D842D">
      <w:pPr>
        <w:pageBreakBefore w:val="0"/>
        <w:widowControl/>
        <w:kinsoku/>
        <w:wordWrap/>
        <w:overflowPunct/>
        <w:topLinePunct w:val="0"/>
        <w:autoSpaceDE/>
        <w:autoSpaceDN/>
        <w:bidi w:val="0"/>
        <w:adjustRightInd/>
        <w:snapToGrid/>
        <w:spacing w:after="120" w:line="288" w:lineRule="auto"/>
        <w:ind w:firstLine="420" w:firstLineChars="200"/>
        <w:jc w:val="both"/>
        <w:textAlignment w:val="auto"/>
      </w:pPr>
      <w:r>
        <w:rPr>
          <w:rFonts w:ascii="Noto Sans CJK SC" w:hAnsi="Noto Sans CJK SC" w:eastAsia="Noto Sans CJK SC"/>
        </w:rPr>
        <w:drawing>
          <wp:inline distT="0" distB="0" distL="114300" distR="114300">
            <wp:extent cx="5943600" cy="3670935"/>
            <wp:effectExtent l="0" t="0" r="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8"/>
                    <a:stretch>
                      <a:fillRect/>
                    </a:stretch>
                  </pic:blipFill>
                  <pic:spPr>
                    <a:xfrm>
                      <a:off x="0" y="0"/>
                      <a:ext cx="5943600" cy="3671047"/>
                    </a:xfrm>
                    <a:prstGeom prst="rect">
                      <a:avLst/>
                    </a:prstGeom>
                  </pic:spPr>
                </pic:pic>
              </a:graphicData>
            </a:graphic>
          </wp:inline>
        </w:drawing>
      </w:r>
    </w:p>
    <w:p w14:paraId="3F8446DC">
      <w:pPr>
        <w:pStyle w:val="167"/>
        <w:widowControl/>
      </w:pPr>
      <w:r>
        <w:t>图 5-1 TrafficInsight 总体技术架构图</w:t>
      </w:r>
    </w:p>
    <w:p w14:paraId="32B7162A">
      <w:pPr>
        <w:pStyle w:val="4"/>
        <w:widowControl/>
        <w:numPr>
          <w:ilvl w:val="0"/>
          <w:numId w:val="10"/>
        </w:numPr>
        <w:ind w:left="0" w:leftChars="0" w:firstLine="0" w:firstLineChars="0"/>
        <w:rPr>
          <w:rFonts w:hint="eastAsia" w:ascii="黑体" w:hAnsi="黑体" w:eastAsia="黑体" w:cs="黑体"/>
          <w:b w:val="0"/>
          <w:bdr w:val="none" w:sz="0" w:space="0"/>
        </w:rPr>
      </w:pPr>
      <w:r>
        <w:t>总体框架</w:t>
      </w:r>
    </w:p>
    <w:tbl>
      <w:tblPr>
        <w:tblStyle w:val="3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0"/>
        <w:gridCol w:w="9104"/>
      </w:tblGrid>
      <w:tr w14:paraId="1C5A4CA9">
        <w:trPr>
          <w:trHeight w:val="0" w:hRule="atLeast"/>
          <w:tblHeader/>
          <w:jc w:val="center"/>
        </w:trPr>
        <w:tc>
          <w:tcPr>
            <w:tcW w:w="578" w:type="pct"/>
            <w:shd w:val="clear" w:color="auto" w:fill="0B4F80"/>
            <w:vAlign w:val="center"/>
          </w:tcPr>
          <w:p w14:paraId="57DD48A2">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b/>
                <w:sz w:val="19"/>
              </w:rPr>
            </w:pPr>
            <w:r>
              <w:rPr>
                <w:rFonts w:ascii="Noto Sans CJK SC" w:hAnsi="Noto Sans CJK SC" w:eastAsia="Noto Sans CJK SC"/>
                <w:b/>
                <w:color w:val="FFFFFF"/>
                <w:sz w:val="19"/>
              </w:rPr>
              <w:t>框架要素</w:t>
            </w:r>
          </w:p>
        </w:tc>
        <w:tc>
          <w:tcPr>
            <w:tcW w:w="4421" w:type="pct"/>
            <w:shd w:val="clear" w:color="auto" w:fill="0B4F80"/>
            <w:vAlign w:val="center"/>
          </w:tcPr>
          <w:p w14:paraId="41D72F85">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b/>
                <w:sz w:val="19"/>
              </w:rPr>
            </w:pPr>
            <w:r>
              <w:rPr>
                <w:rFonts w:ascii="Noto Sans CJK SC" w:hAnsi="Noto Sans CJK SC" w:eastAsia="Noto Sans CJK SC"/>
                <w:b/>
                <w:color w:val="FFFFFF"/>
                <w:sz w:val="19"/>
              </w:rPr>
              <w:t>说明</w:t>
            </w:r>
          </w:p>
        </w:tc>
      </w:tr>
      <w:tr w14:paraId="0CE88CFD">
        <w:trPr>
          <w:trHeight w:val="0" w:hRule="atLeast"/>
          <w:jc w:val="center"/>
        </w:trPr>
        <w:tc>
          <w:tcPr>
            <w:tcW w:w="578" w:type="pct"/>
            <w:vAlign w:val="center"/>
          </w:tcPr>
          <w:p w14:paraId="0566C693">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一课</w:t>
            </w:r>
          </w:p>
        </w:tc>
        <w:tc>
          <w:tcPr>
            <w:tcW w:w="4421" w:type="pct"/>
            <w:vAlign w:val="center"/>
          </w:tcPr>
          <w:p w14:paraId="6788CE8D">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val="0"/>
                <w:sz w:val="19"/>
              </w:rPr>
              <w:t>以《智能交通系统》为核心课程，兼顾交通管理与控制、交通工程学、交通安全工程。</w:t>
            </w:r>
          </w:p>
        </w:tc>
      </w:tr>
      <w:tr w14:paraId="6FEF7399">
        <w:trPr>
          <w:trHeight w:val="0" w:hRule="atLeast"/>
          <w:jc w:val="center"/>
        </w:trPr>
        <w:tc>
          <w:tcPr>
            <w:tcW w:w="578" w:type="pct"/>
            <w:vAlign w:val="center"/>
          </w:tcPr>
          <w:p w14:paraId="4BF444B0">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一平台</w:t>
            </w:r>
          </w:p>
        </w:tc>
        <w:tc>
          <w:tcPr>
            <w:tcW w:w="4421" w:type="pct"/>
            <w:vAlign w:val="center"/>
          </w:tcPr>
          <w:p w14:paraId="14E5380D">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TrafficInsight 智慧交通全域态势感知数字孪生教学创新平台。</w:t>
            </w:r>
          </w:p>
        </w:tc>
      </w:tr>
      <w:tr w14:paraId="3B13B12A">
        <w:trPr>
          <w:trHeight w:val="0" w:hRule="atLeast"/>
          <w:jc w:val="center"/>
        </w:trPr>
        <w:tc>
          <w:tcPr>
            <w:tcW w:w="578" w:type="pct"/>
            <w:vAlign w:val="center"/>
          </w:tcPr>
          <w:p w14:paraId="1C1C4B89">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双驱动</w:t>
            </w:r>
          </w:p>
        </w:tc>
        <w:tc>
          <w:tcPr>
            <w:tcW w:w="4421" w:type="pct"/>
            <w:vAlign w:val="center"/>
          </w:tcPr>
          <w:p w14:paraId="79C82461">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交通运行样例数据驱动 + GIS/局部 3D 数模驱动。</w:t>
            </w:r>
          </w:p>
        </w:tc>
      </w:tr>
      <w:tr w14:paraId="55DDA60D">
        <w:trPr>
          <w:trHeight w:val="0" w:hRule="atLeast"/>
          <w:jc w:val="center"/>
        </w:trPr>
        <w:tc>
          <w:tcPr>
            <w:tcW w:w="578" w:type="pct"/>
            <w:vAlign w:val="center"/>
          </w:tcPr>
          <w:p w14:paraId="2F4FE4D5">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三引擎</w:t>
            </w:r>
          </w:p>
        </w:tc>
        <w:tc>
          <w:tcPr>
            <w:tcW w:w="4421" w:type="pct"/>
            <w:vAlign w:val="center"/>
          </w:tcPr>
          <w:p w14:paraId="55F31F65">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态势感知引擎、仿真推演引擎、教学评价引擎。</w:t>
            </w:r>
          </w:p>
        </w:tc>
      </w:tr>
      <w:tr w14:paraId="64891901">
        <w:trPr>
          <w:trHeight w:val="0" w:hRule="atLeast"/>
          <w:jc w:val="center"/>
        </w:trPr>
        <w:tc>
          <w:tcPr>
            <w:tcW w:w="578" w:type="pct"/>
            <w:vAlign w:val="center"/>
          </w:tcPr>
          <w:p w14:paraId="0D650257">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四场景</w:t>
            </w:r>
          </w:p>
        </w:tc>
        <w:tc>
          <w:tcPr>
            <w:tcW w:w="4421" w:type="pct"/>
            <w:vAlign w:val="center"/>
          </w:tcPr>
          <w:p w14:paraId="657095DD">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路网态势感知、交叉口信号优化、交通事件管控、重点区域综合治理。</w:t>
            </w:r>
          </w:p>
        </w:tc>
      </w:tr>
      <w:tr w14:paraId="20EBEC5F">
        <w:trPr>
          <w:trHeight w:val="0" w:hRule="atLeast"/>
          <w:jc w:val="center"/>
        </w:trPr>
        <w:tc>
          <w:tcPr>
            <w:tcW w:w="578" w:type="pct"/>
            <w:vAlign w:val="center"/>
          </w:tcPr>
          <w:p w14:paraId="167B860C">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五闭环</w:t>
            </w:r>
          </w:p>
        </w:tc>
        <w:tc>
          <w:tcPr>
            <w:tcW w:w="4421" w:type="pct"/>
            <w:vAlign w:val="center"/>
          </w:tcPr>
          <w:p w14:paraId="4E620489">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感知—诊断—决策—推演—复盘。</w:t>
            </w:r>
          </w:p>
        </w:tc>
      </w:tr>
      <w:tr w14:paraId="38FBF68B">
        <w:trPr>
          <w:trHeight w:val="0" w:hRule="atLeast"/>
          <w:jc w:val="center"/>
        </w:trPr>
        <w:tc>
          <w:tcPr>
            <w:tcW w:w="578" w:type="pct"/>
            <w:vAlign w:val="center"/>
          </w:tcPr>
          <w:p w14:paraId="47F710D0">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六成果</w:t>
            </w:r>
          </w:p>
        </w:tc>
        <w:tc>
          <w:tcPr>
            <w:tcW w:w="4421" w:type="pct"/>
            <w:vAlign w:val="center"/>
          </w:tcPr>
          <w:p w14:paraId="131E04A8">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平台成果、数据成果、模型成果、场景成果、评价成果、应用成果。</w:t>
            </w:r>
          </w:p>
        </w:tc>
      </w:tr>
    </w:tbl>
    <w:p w14:paraId="643A3112">
      <w:pPr>
        <w:pStyle w:val="4"/>
        <w:widowControl/>
        <w:numPr>
          <w:ilvl w:val="0"/>
          <w:numId w:val="10"/>
        </w:numPr>
        <w:ind w:left="0" w:leftChars="0" w:firstLine="0" w:firstLineChars="0"/>
        <w:rPr>
          <w:rFonts w:hint="eastAsia" w:ascii="黑体" w:hAnsi="黑体" w:eastAsia="黑体" w:cs="黑体"/>
          <w:b w:val="0"/>
          <w:bdr w:val="none" w:sz="0" w:space="0"/>
        </w:rPr>
      </w:pPr>
      <w:r>
        <w:t>技术路线</w:t>
      </w:r>
    </w:p>
    <w:p w14:paraId="1855AC45">
      <w:pPr>
        <w:pStyle w:val="19"/>
        <w:widowControl/>
        <w:numPr>
          <w:ilvl w:val="0"/>
          <w:numId w:val="11"/>
        </w:numPr>
        <w:topLinePunct w:val="0"/>
        <w:ind w:left="0" w:leftChars="0" w:firstLine="480" w:firstLineChars="0"/>
        <w:rPr>
          <w:rFonts w:hint="eastAsia" w:ascii="宋体" w:hAnsi="宋体" w:eastAsia="宋体" w:cs="宋体"/>
          <w:b w:val="0"/>
          <w:sz w:val="24"/>
          <w:szCs w:val="24"/>
          <w:bdr w:val="none" w:sz="0" w:space="0"/>
        </w:rPr>
      </w:pPr>
      <w:r>
        <w:rPr>
          <w:rFonts w:ascii="Times New Roman" w:hAnsi="Times New Roman" w:eastAsia="宋体" w:cs="Times New Roman"/>
          <w:sz w:val="24"/>
          <w:szCs w:val="24"/>
        </w:rPr>
        <w:t>建立统一样例数据资源。平台围绕早高峰校园片区路网，组织流量、速度、排队长度、事故事件、违法风险、ETC 超速、信号状态和任务评价等数据，作为所有页面和图表的统一来源。</w:t>
      </w:r>
    </w:p>
    <w:p w14:paraId="0C969BFD">
      <w:pPr>
        <w:pStyle w:val="19"/>
        <w:widowControl/>
        <w:numPr>
          <w:ilvl w:val="0"/>
          <w:numId w:val="11"/>
        </w:numPr>
        <w:topLinePunct w:val="0"/>
        <w:ind w:left="0" w:leftChars="0" w:firstLine="480" w:firstLineChars="0"/>
        <w:rPr>
          <w:rFonts w:hint="eastAsia" w:ascii="宋体" w:hAnsi="宋体" w:eastAsia="宋体" w:cs="宋体"/>
          <w:b w:val="0"/>
          <w:sz w:val="24"/>
          <w:szCs w:val="24"/>
          <w:bdr w:val="none" w:sz="0" w:space="0"/>
        </w:rPr>
      </w:pPr>
      <w:r>
        <w:rPr>
          <w:rFonts w:ascii="Times New Roman" w:hAnsi="Times New Roman" w:eastAsia="宋体" w:cs="Times New Roman"/>
          <w:sz w:val="24"/>
          <w:szCs w:val="24"/>
        </w:rPr>
        <w:t>完成路网与对象数模映射。系统将道路、车道、车辆、信号机、检测器、摄像头、事件点和管制区域抽象为可观察、可点击、可解释的教学对象。</w:t>
      </w:r>
    </w:p>
    <w:p w14:paraId="106ADEC8">
      <w:pPr>
        <w:pStyle w:val="19"/>
        <w:widowControl/>
        <w:numPr>
          <w:ilvl w:val="0"/>
          <w:numId w:val="11"/>
        </w:numPr>
        <w:topLinePunct w:val="0"/>
        <w:ind w:left="0" w:leftChars="0" w:firstLine="480" w:firstLineChars="0"/>
        <w:rPr>
          <w:rFonts w:hint="eastAsia" w:ascii="宋体" w:hAnsi="宋体" w:eastAsia="宋体" w:cs="宋体"/>
          <w:b w:val="0"/>
          <w:sz w:val="24"/>
          <w:szCs w:val="24"/>
          <w:bdr w:val="none" w:sz="0" w:space="0"/>
        </w:rPr>
      </w:pPr>
      <w:r>
        <w:rPr>
          <w:rFonts w:ascii="Times New Roman" w:hAnsi="Times New Roman" w:eastAsia="宋体" w:cs="Times New Roman"/>
          <w:sz w:val="24"/>
          <w:szCs w:val="24"/>
        </w:rPr>
        <w:t>构建教师端与学生端双角色流程。教师端发布任务和评分标准，学生端完成态势诊断、参数设置、方案提交和报告输出。</w:t>
      </w:r>
    </w:p>
    <w:p w14:paraId="44FAAD9E">
      <w:pPr>
        <w:pStyle w:val="19"/>
        <w:widowControl/>
        <w:numPr>
          <w:ilvl w:val="0"/>
          <w:numId w:val="11"/>
        </w:numPr>
        <w:topLinePunct w:val="0"/>
        <w:ind w:left="0" w:leftChars="0" w:firstLine="480" w:firstLineChars="0"/>
        <w:rPr>
          <w:rFonts w:hint="eastAsia" w:ascii="宋体" w:hAnsi="宋体" w:eastAsia="宋体" w:cs="宋体"/>
          <w:b w:val="0"/>
          <w:sz w:val="24"/>
          <w:szCs w:val="24"/>
          <w:bdr w:val="none" w:sz="0" w:space="0"/>
        </w:rPr>
      </w:pPr>
      <w:r>
        <w:rPr>
          <w:rFonts w:ascii="Times New Roman" w:hAnsi="Times New Roman" w:eastAsia="宋体" w:cs="Times New Roman"/>
          <w:sz w:val="24"/>
          <w:szCs w:val="24"/>
        </w:rPr>
        <w:t>形成仿真推演与评价复盘。平台对比方案实施前后关键指标，并将学生操作过程转化为能力评价、教师点评和成果归档。</w:t>
      </w:r>
    </w:p>
    <w:p w14:paraId="691E024E">
      <w:pPr>
        <w:pageBreakBefore w:val="0"/>
        <w:widowControl/>
        <w:kinsoku/>
        <w:wordWrap/>
        <w:overflowPunct/>
        <w:topLinePunct w:val="0"/>
        <w:autoSpaceDE/>
        <w:autoSpaceDN/>
        <w:bidi w:val="0"/>
        <w:adjustRightInd/>
        <w:snapToGrid/>
        <w:spacing w:after="120" w:line="288" w:lineRule="auto"/>
        <w:ind w:firstLine="420" w:firstLineChars="200"/>
        <w:jc w:val="both"/>
        <w:textAlignment w:val="auto"/>
      </w:pPr>
      <w:r>
        <w:rPr>
          <w:rFonts w:ascii="Noto Sans CJK SC" w:hAnsi="Noto Sans CJK SC" w:eastAsia="Noto Sans CJK SC"/>
        </w:rPr>
        <w:drawing>
          <wp:inline distT="0" distB="0" distL="114300" distR="114300">
            <wp:extent cx="6338570" cy="8204200"/>
            <wp:effectExtent l="0" t="0" r="1143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9"/>
                    <a:stretch>
                      <a:fillRect/>
                    </a:stretch>
                  </pic:blipFill>
                  <pic:spPr>
                    <a:xfrm>
                      <a:off x="0" y="0"/>
                      <a:ext cx="6338570" cy="8204200"/>
                    </a:xfrm>
                    <a:prstGeom prst="rect">
                      <a:avLst/>
                    </a:prstGeom>
                  </pic:spPr>
                </pic:pic>
              </a:graphicData>
            </a:graphic>
          </wp:inline>
        </w:drawing>
      </w:r>
    </w:p>
    <w:p w14:paraId="39920C5C">
      <w:pPr>
        <w:pStyle w:val="167"/>
        <w:widowControl/>
      </w:pPr>
      <w:r>
        <w:t>图 5-2 系统标准演示路径与教学闭环操作图</w:t>
      </w:r>
    </w:p>
    <w:p w14:paraId="664F540A">
      <w:pPr>
        <w:pStyle w:val="3"/>
        <w:widowControl/>
        <w:numPr>
          <w:ilvl w:val="0"/>
          <w:numId w:val="7"/>
        </w:numPr>
        <w:topLinePunct w:val="0"/>
        <w:ind w:left="0" w:leftChars="0" w:firstLine="0" w:firstLineChars="0"/>
        <w:rPr>
          <w:rFonts w:hint="eastAsia" w:ascii="黑体" w:hAnsi="黑体" w:eastAsia="黑体" w:cs="黑体"/>
          <w:b w:val="0"/>
          <w:bdr w:val="none" w:sz="0" w:space="0"/>
        </w:rPr>
      </w:pPr>
      <w:r>
        <w:t>平台功能设计</w:t>
      </w:r>
    </w:p>
    <w:p w14:paraId="6A4A4445">
      <w:pPr>
        <w:pageBreakBefore w:val="0"/>
        <w:widowControl/>
        <w:kinsoku/>
        <w:wordWrap/>
        <w:overflowPunct/>
        <w:topLinePunct w:val="0"/>
        <w:autoSpaceDE/>
        <w:autoSpaceDN/>
        <w:bidi w:val="0"/>
        <w:adjustRightInd/>
        <w:snapToGrid/>
        <w:spacing w:after="120" w:line="288" w:lineRule="auto"/>
        <w:ind w:firstLine="420" w:firstLineChars="200"/>
        <w:jc w:val="both"/>
        <w:textAlignment w:val="auto"/>
      </w:pPr>
      <w:r>
        <w:rPr>
          <w:rFonts w:ascii="Noto Sans CJK SC" w:hAnsi="Noto Sans CJK SC" w:eastAsia="Noto Sans CJK SC"/>
        </w:rPr>
        <w:drawing>
          <wp:inline distT="0" distB="0" distL="114300" distR="114300">
            <wp:extent cx="5943600" cy="2971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stretch>
                      <a:fillRect/>
                    </a:stretch>
                  </pic:blipFill>
                  <pic:spPr>
                    <a:xfrm>
                      <a:off x="0" y="0"/>
                      <a:ext cx="5943600" cy="2971800"/>
                    </a:xfrm>
                    <a:prstGeom prst="rect">
                      <a:avLst/>
                    </a:prstGeom>
                  </pic:spPr>
                </pic:pic>
              </a:graphicData>
            </a:graphic>
          </wp:inline>
        </w:drawing>
      </w:r>
    </w:p>
    <w:p w14:paraId="15008B56">
      <w:pPr>
        <w:pStyle w:val="167"/>
        <w:widowControl/>
      </w:pPr>
      <w:r>
        <w:t>图 6-1 系统页面与演示路径图</w:t>
      </w:r>
    </w:p>
    <w:tbl>
      <w:tblPr>
        <w:tblStyle w:val="3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0"/>
        <w:gridCol w:w="7994"/>
      </w:tblGrid>
      <w:tr w14:paraId="119BB380">
        <w:trPr>
          <w:trHeight w:val="0" w:hRule="atLeast"/>
          <w:tblHeader/>
          <w:jc w:val="center"/>
        </w:trPr>
        <w:tc>
          <w:tcPr>
            <w:tcW w:w="1117" w:type="pct"/>
            <w:shd w:val="clear" w:color="auto" w:fill="0B4F80"/>
            <w:vAlign w:val="center"/>
          </w:tcPr>
          <w:p w14:paraId="1D02AF64">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b/>
                <w:sz w:val="19"/>
              </w:rPr>
            </w:pPr>
            <w:r>
              <w:rPr>
                <w:rFonts w:ascii="Noto Sans CJK SC" w:hAnsi="Noto Sans CJK SC" w:eastAsia="Noto Sans CJK SC"/>
                <w:b/>
                <w:color w:val="FFFFFF"/>
                <w:sz w:val="19"/>
              </w:rPr>
              <w:t>功能模块</w:t>
            </w:r>
          </w:p>
        </w:tc>
        <w:tc>
          <w:tcPr>
            <w:tcW w:w="3882" w:type="pct"/>
            <w:shd w:val="clear" w:color="auto" w:fill="0B4F80"/>
            <w:vAlign w:val="center"/>
          </w:tcPr>
          <w:p w14:paraId="3A23890E">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b/>
                <w:sz w:val="19"/>
              </w:rPr>
            </w:pPr>
            <w:r>
              <w:rPr>
                <w:rFonts w:ascii="Noto Sans CJK SC" w:hAnsi="Noto Sans CJK SC" w:eastAsia="Noto Sans CJK SC"/>
                <w:b/>
                <w:color w:val="FFFFFF"/>
                <w:sz w:val="19"/>
              </w:rPr>
              <w:t>功能说明</w:t>
            </w:r>
          </w:p>
        </w:tc>
      </w:tr>
      <w:tr w14:paraId="02584C6F">
        <w:trPr>
          <w:trHeight w:val="0" w:hRule="atLeast"/>
          <w:jc w:val="center"/>
        </w:trPr>
        <w:tc>
          <w:tcPr>
            <w:tcW w:w="1117" w:type="pct"/>
            <w:vAlign w:val="center"/>
          </w:tcPr>
          <w:p w14:paraId="574DF732">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7"/>
              </w:rPr>
            </w:pPr>
            <w:r>
              <w:rPr>
                <w:rFonts w:ascii="Noto Sans CJK SC" w:hAnsi="Noto Sans CJK SC" w:eastAsia="Noto Sans CJK SC"/>
                <w:b/>
                <w:color w:val="0B4F80"/>
                <w:sz w:val="17"/>
              </w:rPr>
              <w:t>作品导览 /guide</w:t>
            </w:r>
          </w:p>
        </w:tc>
        <w:tc>
          <w:tcPr>
            <w:tcW w:w="3882" w:type="pct"/>
            <w:vAlign w:val="center"/>
          </w:tcPr>
          <w:p w14:paraId="39615124">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7"/>
              </w:rPr>
            </w:pPr>
            <w:r>
              <w:rPr>
                <w:rFonts w:ascii="Noto Sans CJK SC" w:hAnsi="Noto Sans CJK SC" w:eastAsia="Noto Sans CJK SC"/>
                <w:b w:val="0"/>
                <w:sz w:val="17"/>
              </w:rPr>
              <w:t>说明作品定位、课程依托、核心能力和标准演示路径，作为课堂导入与答辩开场入口。</w:t>
            </w:r>
          </w:p>
        </w:tc>
      </w:tr>
      <w:tr w14:paraId="59B8BFB5">
        <w:trPr>
          <w:trHeight w:val="0" w:hRule="atLeast"/>
          <w:jc w:val="center"/>
        </w:trPr>
        <w:tc>
          <w:tcPr>
            <w:tcW w:w="1117" w:type="pct"/>
            <w:vAlign w:val="center"/>
          </w:tcPr>
          <w:p w14:paraId="048170C3">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7"/>
              </w:rPr>
            </w:pPr>
            <w:r>
              <w:rPr>
                <w:rFonts w:ascii="Noto Sans CJK SC" w:hAnsi="Noto Sans CJK SC" w:eastAsia="Noto Sans CJK SC"/>
                <w:b/>
                <w:color w:val="0B4F80"/>
                <w:sz w:val="17"/>
              </w:rPr>
              <w:t>数字孪生驾驶舱 /dashboard</w:t>
            </w:r>
          </w:p>
        </w:tc>
        <w:tc>
          <w:tcPr>
            <w:tcW w:w="3882" w:type="pct"/>
            <w:vAlign w:val="center"/>
          </w:tcPr>
          <w:p w14:paraId="21B06A86">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7"/>
              </w:rPr>
            </w:pPr>
            <w:r>
              <w:rPr>
                <w:rFonts w:ascii="Noto Sans CJK SC" w:hAnsi="Noto Sans CJK SC" w:eastAsia="Noto Sans CJK SC"/>
                <w:b w:val="0"/>
                <w:sz w:val="17"/>
              </w:rPr>
              <w:t>展示通行指数、区域交通量、平均车速、事故事件、违法风险、ETC 超速等核心指标，并联动 GIS/3D 主场景。</w:t>
            </w:r>
          </w:p>
        </w:tc>
      </w:tr>
      <w:tr w14:paraId="14E99FB3">
        <w:trPr>
          <w:trHeight w:val="0" w:hRule="atLeast"/>
          <w:jc w:val="center"/>
        </w:trPr>
        <w:tc>
          <w:tcPr>
            <w:tcW w:w="1117" w:type="pct"/>
            <w:vAlign w:val="center"/>
          </w:tcPr>
          <w:p w14:paraId="15EDBED7">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7"/>
              </w:rPr>
            </w:pPr>
            <w:r>
              <w:rPr>
                <w:rFonts w:ascii="Noto Sans CJK SC" w:hAnsi="Noto Sans CJK SC" w:eastAsia="Noto Sans CJK SC"/>
                <w:b/>
                <w:color w:val="0B4F80"/>
                <w:sz w:val="17"/>
              </w:rPr>
              <w:t>数据感知 /data</w:t>
            </w:r>
          </w:p>
        </w:tc>
        <w:tc>
          <w:tcPr>
            <w:tcW w:w="3882" w:type="pct"/>
            <w:vAlign w:val="center"/>
          </w:tcPr>
          <w:p w14:paraId="0FCDCB50">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7"/>
              </w:rPr>
            </w:pPr>
            <w:r>
              <w:rPr>
                <w:rFonts w:ascii="Noto Sans CJK SC" w:hAnsi="Noto Sans CJK SC" w:eastAsia="Noto Sans CJK SC"/>
                <w:b w:val="0"/>
                <w:sz w:val="17"/>
              </w:rPr>
              <w:t>展示流量态势、违法态势、事故态势、嫌疑车分析和 ETC 超速评估等教学样例数据。</w:t>
            </w:r>
          </w:p>
        </w:tc>
      </w:tr>
      <w:tr w14:paraId="112EA41C">
        <w:trPr>
          <w:trHeight w:val="0" w:hRule="atLeast"/>
          <w:jc w:val="center"/>
        </w:trPr>
        <w:tc>
          <w:tcPr>
            <w:tcW w:w="1117" w:type="pct"/>
            <w:vAlign w:val="center"/>
          </w:tcPr>
          <w:p w14:paraId="1773496D">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7"/>
              </w:rPr>
            </w:pPr>
            <w:r>
              <w:rPr>
                <w:rFonts w:ascii="Noto Sans CJK SC" w:hAnsi="Noto Sans CJK SC" w:eastAsia="Noto Sans CJK SC"/>
                <w:b/>
                <w:color w:val="0B4F80"/>
                <w:sz w:val="17"/>
              </w:rPr>
              <w:t>3D 数模 /3d-model</w:t>
            </w:r>
          </w:p>
        </w:tc>
        <w:tc>
          <w:tcPr>
            <w:tcW w:w="3882" w:type="pct"/>
            <w:vAlign w:val="center"/>
          </w:tcPr>
          <w:p w14:paraId="3A94D0EB">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7"/>
              </w:rPr>
            </w:pPr>
            <w:r>
              <w:rPr>
                <w:rFonts w:ascii="Noto Sans CJK SC" w:hAnsi="Noto Sans CJK SC" w:eastAsia="Noto Sans CJK SC"/>
                <w:b w:val="0"/>
                <w:sz w:val="17"/>
              </w:rPr>
              <w:t>将路网、车道、车辆、信号机、检测器、事件点和当前选中对象进行数字孪生映射。</w:t>
            </w:r>
          </w:p>
        </w:tc>
      </w:tr>
      <w:tr w14:paraId="7E6226FC">
        <w:trPr>
          <w:trHeight w:val="0" w:hRule="atLeast"/>
          <w:jc w:val="center"/>
        </w:trPr>
        <w:tc>
          <w:tcPr>
            <w:tcW w:w="1117" w:type="pct"/>
            <w:vAlign w:val="center"/>
          </w:tcPr>
          <w:p w14:paraId="1F8CC865">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7"/>
              </w:rPr>
            </w:pPr>
            <w:r>
              <w:rPr>
                <w:rFonts w:ascii="Noto Sans CJK SC" w:hAnsi="Noto Sans CJK SC" w:eastAsia="Noto Sans CJK SC"/>
                <w:b/>
                <w:color w:val="0B4F80"/>
                <w:sz w:val="17"/>
              </w:rPr>
              <w:t>教师端 /teacher</w:t>
            </w:r>
          </w:p>
        </w:tc>
        <w:tc>
          <w:tcPr>
            <w:tcW w:w="3882" w:type="pct"/>
            <w:vAlign w:val="center"/>
          </w:tcPr>
          <w:p w14:paraId="49AB2B5A">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7"/>
              </w:rPr>
            </w:pPr>
            <w:r>
              <w:rPr>
                <w:rFonts w:ascii="Noto Sans CJK SC" w:hAnsi="Noto Sans CJK SC" w:eastAsia="Noto Sans CJK SC"/>
                <w:b w:val="0"/>
                <w:sz w:val="17"/>
              </w:rPr>
              <w:t>支持课程任务发布、分组组织、案例背景、基础数据、参数配置、评分标准和提交要求设置。</w:t>
            </w:r>
          </w:p>
        </w:tc>
      </w:tr>
      <w:tr w14:paraId="39CC0CFC">
        <w:trPr>
          <w:trHeight w:val="0" w:hRule="atLeast"/>
          <w:jc w:val="center"/>
        </w:trPr>
        <w:tc>
          <w:tcPr>
            <w:tcW w:w="1117" w:type="pct"/>
            <w:vAlign w:val="center"/>
          </w:tcPr>
          <w:p w14:paraId="2F28F060">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7"/>
              </w:rPr>
            </w:pPr>
            <w:r>
              <w:rPr>
                <w:rFonts w:ascii="Noto Sans CJK SC" w:hAnsi="Noto Sans CJK SC" w:eastAsia="Noto Sans CJK SC"/>
                <w:b/>
                <w:color w:val="0B4F80"/>
                <w:sz w:val="17"/>
              </w:rPr>
              <w:t>学生端 /student</w:t>
            </w:r>
          </w:p>
        </w:tc>
        <w:tc>
          <w:tcPr>
            <w:tcW w:w="3882" w:type="pct"/>
            <w:vAlign w:val="center"/>
          </w:tcPr>
          <w:p w14:paraId="1B9B24CA">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7"/>
              </w:rPr>
            </w:pPr>
            <w:r>
              <w:rPr>
                <w:rFonts w:ascii="Noto Sans CJK SC" w:hAnsi="Noto Sans CJK SC" w:eastAsia="Noto Sans CJK SC"/>
                <w:b w:val="0"/>
                <w:sz w:val="17"/>
              </w:rPr>
              <w:t>支持学生接收任务、读取数据、识别问题、设置信号参数、选择管制与绕行方案并提交仿真。</w:t>
            </w:r>
          </w:p>
        </w:tc>
      </w:tr>
      <w:tr w14:paraId="37F4EF50">
        <w:trPr>
          <w:trHeight w:val="0" w:hRule="atLeast"/>
          <w:jc w:val="center"/>
        </w:trPr>
        <w:tc>
          <w:tcPr>
            <w:tcW w:w="1117" w:type="pct"/>
            <w:vAlign w:val="center"/>
          </w:tcPr>
          <w:p w14:paraId="6B9A51BC">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7"/>
              </w:rPr>
            </w:pPr>
            <w:r>
              <w:rPr>
                <w:rFonts w:ascii="Noto Sans CJK SC" w:hAnsi="Noto Sans CJK SC" w:eastAsia="Noto Sans CJK SC"/>
                <w:b/>
                <w:color w:val="0B4F80"/>
                <w:sz w:val="17"/>
              </w:rPr>
              <w:t>仿真推演 /simulation</w:t>
            </w:r>
          </w:p>
        </w:tc>
        <w:tc>
          <w:tcPr>
            <w:tcW w:w="3882" w:type="pct"/>
            <w:vAlign w:val="center"/>
          </w:tcPr>
          <w:p w14:paraId="2C4A48B3">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7"/>
              </w:rPr>
            </w:pPr>
            <w:r>
              <w:rPr>
                <w:rFonts w:ascii="Noto Sans CJK SC" w:hAnsi="Noto Sans CJK SC" w:eastAsia="Noto Sans CJK SC"/>
                <w:b w:val="0"/>
                <w:sz w:val="17"/>
              </w:rPr>
              <w:t>对比优化前后平均延误、排队长度、通行效率、平均车速和风险等级变化。</w:t>
            </w:r>
          </w:p>
        </w:tc>
      </w:tr>
      <w:tr w14:paraId="30C9A8A0">
        <w:trPr>
          <w:trHeight w:val="0" w:hRule="atLeast"/>
          <w:jc w:val="center"/>
        </w:trPr>
        <w:tc>
          <w:tcPr>
            <w:tcW w:w="1117" w:type="pct"/>
            <w:vAlign w:val="center"/>
          </w:tcPr>
          <w:p w14:paraId="0FAEB6B5">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7"/>
              </w:rPr>
            </w:pPr>
            <w:r>
              <w:rPr>
                <w:rFonts w:ascii="Noto Sans CJK SC" w:hAnsi="Noto Sans CJK SC" w:eastAsia="Noto Sans CJK SC"/>
                <w:b/>
                <w:color w:val="0B4F80"/>
                <w:sz w:val="17"/>
              </w:rPr>
              <w:t>评价复盘 /review</w:t>
            </w:r>
          </w:p>
        </w:tc>
        <w:tc>
          <w:tcPr>
            <w:tcW w:w="3882" w:type="pct"/>
            <w:vAlign w:val="center"/>
          </w:tcPr>
          <w:p w14:paraId="45D0E6BD">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7"/>
              </w:rPr>
            </w:pPr>
            <w:r>
              <w:rPr>
                <w:rFonts w:ascii="Noto Sans CJK SC" w:hAnsi="Noto Sans CJK SC" w:eastAsia="Noto Sans CJK SC"/>
                <w:b w:val="0"/>
                <w:sz w:val="17"/>
              </w:rPr>
              <w:t>形成综合得分、能力雷达、指标改善率、操作时间线、教师点评和实训报告导出。</w:t>
            </w:r>
          </w:p>
        </w:tc>
      </w:tr>
      <w:tr w14:paraId="46AC56BC">
        <w:trPr>
          <w:trHeight w:val="0" w:hRule="atLeast"/>
          <w:jc w:val="center"/>
        </w:trPr>
        <w:tc>
          <w:tcPr>
            <w:tcW w:w="1117" w:type="pct"/>
            <w:vAlign w:val="center"/>
          </w:tcPr>
          <w:p w14:paraId="7CF4DF6C">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7"/>
              </w:rPr>
            </w:pPr>
            <w:r>
              <w:rPr>
                <w:rFonts w:ascii="Noto Sans CJK SC" w:hAnsi="Noto Sans CJK SC" w:eastAsia="Noto Sans CJK SC"/>
                <w:b/>
                <w:color w:val="0B4F80"/>
                <w:sz w:val="17"/>
              </w:rPr>
              <w:t>教学成果中心 /matrix</w:t>
            </w:r>
          </w:p>
        </w:tc>
        <w:tc>
          <w:tcPr>
            <w:tcW w:w="3882" w:type="pct"/>
            <w:vAlign w:val="center"/>
          </w:tcPr>
          <w:p w14:paraId="0C34B0CF">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7"/>
              </w:rPr>
            </w:pPr>
            <w:r>
              <w:rPr>
                <w:rFonts w:ascii="Noto Sans CJK SC" w:hAnsi="Noto Sans CJK SC" w:eastAsia="Noto Sans CJK SC"/>
                <w:b w:val="0"/>
                <w:sz w:val="17"/>
              </w:rPr>
              <w:t>归档平台、数据、模型、场景、评价和应用成果，支撑项目展示与后续建设。</w:t>
            </w:r>
          </w:p>
        </w:tc>
      </w:tr>
    </w:tbl>
    <w:p w14:paraId="7865951A">
      <w:pPr>
        <w:pStyle w:val="3"/>
        <w:widowControl/>
        <w:numPr>
          <w:ilvl w:val="0"/>
          <w:numId w:val="7"/>
        </w:numPr>
        <w:topLinePunct w:val="0"/>
        <w:ind w:left="0" w:leftChars="0" w:firstLine="0" w:firstLineChars="0"/>
        <w:rPr>
          <w:rFonts w:hint="eastAsia" w:ascii="黑体" w:hAnsi="黑体" w:eastAsia="黑体" w:cs="黑体"/>
          <w:b w:val="0"/>
          <w:bdr w:val="none" w:sz="0" w:space="0"/>
        </w:rPr>
      </w:pPr>
      <w:r>
        <w:t>典型实训场景与运行案例</w:t>
      </w:r>
    </w:p>
    <w:p w14:paraId="5B607FCC">
      <w:pPr>
        <w:pStyle w:val="4"/>
        <w:widowControl/>
        <w:numPr>
          <w:ilvl w:val="0"/>
          <w:numId w:val="12"/>
        </w:numPr>
        <w:ind w:left="0" w:leftChars="0" w:firstLine="0" w:firstLineChars="0"/>
        <w:rPr>
          <w:rFonts w:hint="eastAsia" w:ascii="黑体" w:hAnsi="黑体" w:eastAsia="黑体" w:cs="黑体"/>
          <w:b w:val="0"/>
          <w:bdr w:val="none" w:sz="0" w:space="0"/>
        </w:rPr>
      </w:pPr>
      <w:r>
        <w:t>案例场景</w:t>
      </w:r>
    </w:p>
    <w:p w14:paraId="3F3E471A">
      <w:pPr>
        <w:pStyle w:val="19"/>
        <w:widowControl/>
        <w:rPr>
          <w:rFonts w:ascii="Times New Roman" w:hAnsi="Times New Roman" w:eastAsia="宋体" w:cs="Times New Roman"/>
          <w:sz w:val="24"/>
          <w:szCs w:val="24"/>
        </w:rPr>
      </w:pPr>
      <w:r>
        <w:rPr>
          <w:rFonts w:ascii="Times New Roman" w:hAnsi="Times New Roman" w:eastAsia="宋体" w:cs="Times New Roman"/>
          <w:sz w:val="24"/>
          <w:szCs w:val="24"/>
        </w:rPr>
        <w:t>平台当前案例为“早高峰校园片区路网”，时间设定为 2026-07-02 08:30，状态为“数据—路网—信号—教学任务实时联动”。该场景适合作为《智能交通系统》课程中交通状态感知、信号控制优化和事件应急管控的综合实训案例。</w:t>
      </w:r>
    </w:p>
    <w:tbl>
      <w:tblPr>
        <w:tblStyle w:val="3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0"/>
        <w:gridCol w:w="4455"/>
        <w:gridCol w:w="3489"/>
      </w:tblGrid>
      <w:tr w14:paraId="15E0788A">
        <w:trPr>
          <w:trHeight w:val="0" w:hRule="atLeast"/>
          <w:tblHeader/>
          <w:jc w:val="center"/>
        </w:trPr>
        <w:tc>
          <w:tcPr>
            <w:tcW w:w="1141" w:type="pct"/>
            <w:shd w:val="clear" w:color="auto" w:fill="0B4F80"/>
            <w:vAlign w:val="center"/>
          </w:tcPr>
          <w:p w14:paraId="73BDCACB">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FFFFFF"/>
                <w:sz w:val="19"/>
              </w:rPr>
            </w:pPr>
            <w:r>
              <w:rPr>
                <w:rFonts w:ascii="Noto Sans CJK SC" w:hAnsi="Noto Sans CJK SC" w:eastAsia="Noto Sans CJK SC"/>
                <w:b/>
                <w:color w:val="FFFFFF"/>
                <w:sz w:val="19"/>
              </w:rPr>
              <w:t>指标</w:t>
            </w:r>
          </w:p>
        </w:tc>
        <w:tc>
          <w:tcPr>
            <w:tcW w:w="2163" w:type="pct"/>
            <w:shd w:val="clear" w:color="auto" w:fill="0B4F80"/>
            <w:vAlign w:val="center"/>
          </w:tcPr>
          <w:p w14:paraId="02FDA157">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FFFFFF"/>
                <w:sz w:val="19"/>
              </w:rPr>
            </w:pPr>
            <w:r>
              <w:rPr>
                <w:rFonts w:ascii="Noto Sans CJK SC" w:hAnsi="Noto Sans CJK SC" w:eastAsia="Noto Sans CJK SC"/>
                <w:b/>
                <w:color w:val="FFFFFF"/>
                <w:sz w:val="19"/>
              </w:rPr>
              <w:t>样例数值</w:t>
            </w:r>
          </w:p>
        </w:tc>
        <w:tc>
          <w:tcPr>
            <w:tcW w:w="1694" w:type="pct"/>
            <w:shd w:val="clear" w:color="auto" w:fill="0B4F80"/>
            <w:vAlign w:val="center"/>
          </w:tcPr>
          <w:p w14:paraId="117E5813">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FFFFFF"/>
                <w:sz w:val="19"/>
              </w:rPr>
            </w:pPr>
            <w:r>
              <w:rPr>
                <w:rFonts w:ascii="Noto Sans CJK SC" w:hAnsi="Noto Sans CJK SC" w:eastAsia="Noto Sans CJK SC"/>
                <w:b/>
                <w:color w:val="FFFFFF"/>
                <w:sz w:val="19"/>
              </w:rPr>
              <w:t>教学含义</w:t>
            </w:r>
          </w:p>
        </w:tc>
      </w:tr>
      <w:tr w14:paraId="71C33676">
        <w:trPr>
          <w:trHeight w:val="0" w:hRule="atLeast"/>
          <w:jc w:val="center"/>
        </w:trPr>
        <w:tc>
          <w:tcPr>
            <w:tcW w:w="1141" w:type="pct"/>
            <w:vAlign w:val="center"/>
          </w:tcPr>
          <w:p w14:paraId="54882DC1">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7"/>
              </w:rPr>
            </w:pPr>
            <w:r>
              <w:rPr>
                <w:rFonts w:ascii="Noto Sans CJK SC" w:hAnsi="Noto Sans CJK SC" w:eastAsia="Noto Sans CJK SC"/>
                <w:b w:val="0"/>
                <w:sz w:val="17"/>
              </w:rPr>
              <w:t>通行指数</w:t>
            </w:r>
          </w:p>
        </w:tc>
        <w:tc>
          <w:tcPr>
            <w:tcW w:w="2163" w:type="pct"/>
            <w:vAlign w:val="center"/>
          </w:tcPr>
          <w:p w14:paraId="3E53BDCD">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7"/>
              </w:rPr>
            </w:pPr>
            <w:r>
              <w:rPr>
                <w:rFonts w:ascii="Noto Sans CJK SC" w:hAnsi="Noto Sans CJK SC" w:eastAsia="Noto Sans CJK SC"/>
                <w:b w:val="0"/>
                <w:sz w:val="17"/>
              </w:rPr>
              <w:t>72 分，中度拥堵</w:t>
            </w:r>
          </w:p>
        </w:tc>
        <w:tc>
          <w:tcPr>
            <w:tcW w:w="1694" w:type="pct"/>
            <w:vAlign w:val="center"/>
          </w:tcPr>
          <w:p w14:paraId="79E54211">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7"/>
              </w:rPr>
            </w:pPr>
            <w:r>
              <w:rPr>
                <w:rFonts w:ascii="Noto Sans CJK SC" w:hAnsi="Noto Sans CJK SC" w:eastAsia="Noto Sans CJK SC"/>
                <w:b w:val="0"/>
                <w:sz w:val="17"/>
              </w:rPr>
              <w:t>判断片区运行状态</w:t>
            </w:r>
          </w:p>
        </w:tc>
      </w:tr>
      <w:tr w14:paraId="493B327A">
        <w:trPr>
          <w:trHeight w:val="0" w:hRule="atLeast"/>
          <w:jc w:val="center"/>
        </w:trPr>
        <w:tc>
          <w:tcPr>
            <w:tcW w:w="1141" w:type="pct"/>
            <w:vAlign w:val="center"/>
          </w:tcPr>
          <w:p w14:paraId="7242C3E1">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7"/>
              </w:rPr>
            </w:pPr>
            <w:r>
              <w:rPr>
                <w:rFonts w:ascii="Noto Sans CJK SC" w:hAnsi="Noto Sans CJK SC" w:eastAsia="Noto Sans CJK SC"/>
                <w:b w:val="0"/>
                <w:sz w:val="17"/>
              </w:rPr>
              <w:t>区域交通量</w:t>
            </w:r>
          </w:p>
        </w:tc>
        <w:tc>
          <w:tcPr>
            <w:tcW w:w="2163" w:type="pct"/>
            <w:vAlign w:val="center"/>
          </w:tcPr>
          <w:p w14:paraId="3616437B">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7"/>
              </w:rPr>
            </w:pPr>
            <w:r>
              <w:rPr>
                <w:rFonts w:ascii="Noto Sans CJK SC" w:hAnsi="Noto Sans CJK SC" w:eastAsia="Noto Sans CJK SC"/>
                <w:b w:val="0"/>
                <w:sz w:val="17"/>
              </w:rPr>
              <w:t>7210 pcu/h，较基准上升 12.4%</w:t>
            </w:r>
          </w:p>
        </w:tc>
        <w:tc>
          <w:tcPr>
            <w:tcW w:w="1694" w:type="pct"/>
            <w:vAlign w:val="center"/>
          </w:tcPr>
          <w:p w14:paraId="7DB55505">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7"/>
              </w:rPr>
            </w:pPr>
            <w:r>
              <w:rPr>
                <w:rFonts w:ascii="Noto Sans CJK SC" w:hAnsi="Noto Sans CJK SC" w:eastAsia="Noto Sans CJK SC"/>
                <w:b w:val="0"/>
                <w:sz w:val="17"/>
              </w:rPr>
              <w:t>分析早高峰需求强度</w:t>
            </w:r>
          </w:p>
        </w:tc>
      </w:tr>
      <w:tr w14:paraId="1367901E">
        <w:trPr>
          <w:trHeight w:val="0" w:hRule="atLeast"/>
          <w:jc w:val="center"/>
        </w:trPr>
        <w:tc>
          <w:tcPr>
            <w:tcW w:w="1141" w:type="pct"/>
            <w:vAlign w:val="center"/>
          </w:tcPr>
          <w:p w14:paraId="4115C920">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sz w:val="17"/>
              </w:rPr>
            </w:pPr>
            <w:r>
              <w:rPr>
                <w:rFonts w:ascii="Noto Sans CJK SC" w:hAnsi="Noto Sans CJK SC" w:eastAsia="Noto Sans CJK SC"/>
                <w:b/>
                <w:sz w:val="17"/>
              </w:rPr>
              <w:t>平均车速</w:t>
            </w:r>
          </w:p>
        </w:tc>
        <w:tc>
          <w:tcPr>
            <w:tcW w:w="2163" w:type="pct"/>
            <w:vAlign w:val="center"/>
          </w:tcPr>
          <w:p w14:paraId="0FF3F0F9">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sz w:val="17"/>
              </w:rPr>
            </w:pPr>
            <w:r>
              <w:rPr>
                <w:rFonts w:ascii="Noto Sans CJK SC" w:hAnsi="Noto Sans CJK SC" w:eastAsia="Noto Sans CJK SC"/>
                <w:b/>
                <w:sz w:val="17"/>
              </w:rPr>
              <w:t>31.8 km/h，低于常态 7.6%</w:t>
            </w:r>
          </w:p>
        </w:tc>
        <w:tc>
          <w:tcPr>
            <w:tcW w:w="1694" w:type="pct"/>
            <w:vAlign w:val="center"/>
          </w:tcPr>
          <w:p w14:paraId="156035F3">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sz w:val="17"/>
              </w:rPr>
            </w:pPr>
            <w:r>
              <w:rPr>
                <w:rFonts w:ascii="Noto Sans CJK SC" w:hAnsi="Noto Sans CJK SC" w:eastAsia="Noto Sans CJK SC"/>
                <w:b/>
                <w:sz w:val="17"/>
              </w:rPr>
              <w:t>识别速度下降和拥堵形成</w:t>
            </w:r>
          </w:p>
        </w:tc>
      </w:tr>
      <w:tr w14:paraId="5899A3DC">
        <w:trPr>
          <w:trHeight w:val="0" w:hRule="atLeast"/>
          <w:jc w:val="center"/>
        </w:trPr>
        <w:tc>
          <w:tcPr>
            <w:tcW w:w="1141" w:type="pct"/>
            <w:vAlign w:val="center"/>
          </w:tcPr>
          <w:p w14:paraId="114E55D0">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7"/>
              </w:rPr>
            </w:pPr>
            <w:r>
              <w:rPr>
                <w:rFonts w:ascii="Noto Sans CJK SC" w:hAnsi="Noto Sans CJK SC" w:eastAsia="Noto Sans CJK SC"/>
                <w:b w:val="0"/>
                <w:sz w:val="17"/>
              </w:rPr>
              <w:t>事故事件</w:t>
            </w:r>
          </w:p>
        </w:tc>
        <w:tc>
          <w:tcPr>
            <w:tcW w:w="2163" w:type="pct"/>
            <w:vAlign w:val="center"/>
          </w:tcPr>
          <w:p w14:paraId="5D58792B">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7"/>
              </w:rPr>
            </w:pPr>
            <w:r>
              <w:rPr>
                <w:rFonts w:ascii="Noto Sans CJK SC" w:hAnsi="Noto Sans CJK SC" w:eastAsia="Noto Sans CJK SC"/>
                <w:b w:val="0"/>
                <w:sz w:val="17"/>
              </w:rPr>
              <w:t>2 起</w:t>
            </w:r>
          </w:p>
        </w:tc>
        <w:tc>
          <w:tcPr>
            <w:tcW w:w="1694" w:type="pct"/>
            <w:vAlign w:val="center"/>
          </w:tcPr>
          <w:p w14:paraId="37DDAEB8">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7"/>
              </w:rPr>
            </w:pPr>
            <w:r>
              <w:rPr>
                <w:rFonts w:ascii="Noto Sans CJK SC" w:hAnsi="Noto Sans CJK SC" w:eastAsia="Noto Sans CJK SC"/>
                <w:b w:val="0"/>
                <w:sz w:val="17"/>
              </w:rPr>
              <w:t>触发事件管控实训</w:t>
            </w:r>
          </w:p>
        </w:tc>
      </w:tr>
      <w:tr w14:paraId="6188B848">
        <w:trPr>
          <w:trHeight w:val="0" w:hRule="atLeast"/>
          <w:jc w:val="center"/>
        </w:trPr>
        <w:tc>
          <w:tcPr>
            <w:tcW w:w="1141" w:type="pct"/>
            <w:vAlign w:val="center"/>
          </w:tcPr>
          <w:p w14:paraId="2D9D16B4">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7"/>
              </w:rPr>
            </w:pPr>
            <w:r>
              <w:rPr>
                <w:rFonts w:ascii="Noto Sans CJK SC" w:hAnsi="Noto Sans CJK SC" w:eastAsia="Noto Sans CJK SC"/>
                <w:b w:val="0"/>
                <w:sz w:val="17"/>
              </w:rPr>
              <w:t>违法风险</w:t>
            </w:r>
          </w:p>
        </w:tc>
        <w:tc>
          <w:tcPr>
            <w:tcW w:w="2163" w:type="pct"/>
            <w:vAlign w:val="center"/>
          </w:tcPr>
          <w:p w14:paraId="2018E2B5">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7"/>
              </w:rPr>
            </w:pPr>
            <w:r>
              <w:rPr>
                <w:rFonts w:ascii="Noto Sans CJK SC" w:hAnsi="Noto Sans CJK SC" w:eastAsia="Noto Sans CJK SC"/>
                <w:b w:val="0"/>
                <w:sz w:val="17"/>
              </w:rPr>
              <w:t>17 次</w:t>
            </w:r>
          </w:p>
        </w:tc>
        <w:tc>
          <w:tcPr>
            <w:tcW w:w="1694" w:type="pct"/>
            <w:vAlign w:val="center"/>
          </w:tcPr>
          <w:p w14:paraId="1FD5F923">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7"/>
              </w:rPr>
            </w:pPr>
            <w:r>
              <w:rPr>
                <w:rFonts w:ascii="Noto Sans CJK SC" w:hAnsi="Noto Sans CJK SC" w:eastAsia="Noto Sans CJK SC"/>
                <w:b w:val="0"/>
                <w:sz w:val="17"/>
              </w:rPr>
              <w:t>支撑安全态势研判</w:t>
            </w:r>
          </w:p>
        </w:tc>
      </w:tr>
      <w:tr w14:paraId="3630737B">
        <w:trPr>
          <w:trHeight w:val="0" w:hRule="atLeast"/>
          <w:jc w:val="center"/>
        </w:trPr>
        <w:tc>
          <w:tcPr>
            <w:tcW w:w="1141" w:type="pct"/>
            <w:vAlign w:val="center"/>
          </w:tcPr>
          <w:p w14:paraId="5D54B7DE">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7"/>
              </w:rPr>
            </w:pPr>
            <w:r>
              <w:rPr>
                <w:rFonts w:ascii="Noto Sans CJK SC" w:hAnsi="Noto Sans CJK SC" w:eastAsia="Noto Sans CJK SC"/>
                <w:b w:val="0"/>
                <w:sz w:val="17"/>
              </w:rPr>
              <w:t>ETC 超速</w:t>
            </w:r>
          </w:p>
        </w:tc>
        <w:tc>
          <w:tcPr>
            <w:tcW w:w="2163" w:type="pct"/>
            <w:vAlign w:val="center"/>
          </w:tcPr>
          <w:p w14:paraId="429A18EF">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7"/>
              </w:rPr>
            </w:pPr>
            <w:r>
              <w:rPr>
                <w:rFonts w:ascii="Noto Sans CJK SC" w:hAnsi="Noto Sans CJK SC" w:eastAsia="Noto Sans CJK SC"/>
                <w:b w:val="0"/>
                <w:sz w:val="17"/>
              </w:rPr>
              <w:t>8 次</w:t>
            </w:r>
          </w:p>
        </w:tc>
        <w:tc>
          <w:tcPr>
            <w:tcW w:w="1694" w:type="pct"/>
            <w:vAlign w:val="center"/>
          </w:tcPr>
          <w:p w14:paraId="41A20A7E">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7"/>
              </w:rPr>
            </w:pPr>
            <w:r>
              <w:rPr>
                <w:rFonts w:ascii="Noto Sans CJK SC" w:hAnsi="Noto Sans CJK SC" w:eastAsia="Noto Sans CJK SC"/>
                <w:b w:val="0"/>
                <w:sz w:val="17"/>
              </w:rPr>
              <w:t>支撑速度异常分析</w:t>
            </w:r>
          </w:p>
        </w:tc>
      </w:tr>
      <w:tr w14:paraId="12B1CA21">
        <w:trPr>
          <w:trHeight w:val="0" w:hRule="atLeast"/>
          <w:jc w:val="center"/>
        </w:trPr>
        <w:tc>
          <w:tcPr>
            <w:tcW w:w="1141" w:type="pct"/>
            <w:vAlign w:val="center"/>
          </w:tcPr>
          <w:p w14:paraId="4057D6B1">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7"/>
              </w:rPr>
            </w:pPr>
            <w:r>
              <w:rPr>
                <w:rFonts w:ascii="Noto Sans CJK SC" w:hAnsi="Noto Sans CJK SC" w:eastAsia="Noto Sans CJK SC"/>
                <w:b w:val="0"/>
                <w:sz w:val="17"/>
              </w:rPr>
              <w:t>北进口排队</w:t>
            </w:r>
          </w:p>
        </w:tc>
        <w:tc>
          <w:tcPr>
            <w:tcW w:w="2163" w:type="pct"/>
            <w:vAlign w:val="center"/>
          </w:tcPr>
          <w:p w14:paraId="3762D7F6">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7"/>
              </w:rPr>
            </w:pPr>
            <w:r>
              <w:rPr>
                <w:rFonts w:ascii="Noto Sans CJK SC" w:hAnsi="Noto Sans CJK SC" w:eastAsia="Noto Sans CJK SC"/>
                <w:b w:val="0"/>
                <w:sz w:val="17"/>
              </w:rPr>
              <w:t>164 m</w:t>
            </w:r>
          </w:p>
        </w:tc>
        <w:tc>
          <w:tcPr>
            <w:tcW w:w="1694" w:type="pct"/>
            <w:vAlign w:val="center"/>
          </w:tcPr>
          <w:p w14:paraId="00BDC938">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7"/>
              </w:rPr>
            </w:pPr>
            <w:r>
              <w:rPr>
                <w:rFonts w:ascii="Noto Sans CJK SC" w:hAnsi="Noto Sans CJK SC" w:eastAsia="Noto Sans CJK SC"/>
                <w:b w:val="0"/>
                <w:sz w:val="17"/>
              </w:rPr>
              <w:t>判断排队溢出风险</w:t>
            </w:r>
          </w:p>
        </w:tc>
      </w:tr>
      <w:tr w14:paraId="3257C42C">
        <w:trPr>
          <w:trHeight w:val="0" w:hRule="atLeast"/>
          <w:jc w:val="center"/>
        </w:trPr>
        <w:tc>
          <w:tcPr>
            <w:tcW w:w="1141" w:type="pct"/>
            <w:vAlign w:val="center"/>
          </w:tcPr>
          <w:p w14:paraId="0AC834FB">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7"/>
              </w:rPr>
            </w:pPr>
            <w:r>
              <w:rPr>
                <w:rFonts w:ascii="Noto Sans CJK SC" w:hAnsi="Noto Sans CJK SC" w:eastAsia="Noto Sans CJK SC"/>
                <w:b w:val="0"/>
                <w:sz w:val="17"/>
              </w:rPr>
              <w:t>平均交叉口延误</w:t>
            </w:r>
          </w:p>
        </w:tc>
        <w:tc>
          <w:tcPr>
            <w:tcW w:w="2163" w:type="pct"/>
            <w:vAlign w:val="center"/>
          </w:tcPr>
          <w:p w14:paraId="1577C0B4">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7"/>
              </w:rPr>
            </w:pPr>
            <w:r>
              <w:rPr>
                <w:rFonts w:ascii="Noto Sans CJK SC" w:hAnsi="Noto Sans CJK SC" w:eastAsia="Noto Sans CJK SC"/>
                <w:b w:val="0"/>
                <w:sz w:val="17"/>
              </w:rPr>
              <w:t>58.4 s/veh</w:t>
            </w:r>
          </w:p>
        </w:tc>
        <w:tc>
          <w:tcPr>
            <w:tcW w:w="1694" w:type="pct"/>
            <w:vAlign w:val="center"/>
          </w:tcPr>
          <w:p w14:paraId="6E177585">
            <w:pPr>
              <w:keepNext/>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7"/>
              </w:rPr>
            </w:pPr>
            <w:r>
              <w:rPr>
                <w:rFonts w:ascii="Noto Sans CJK SC" w:hAnsi="Noto Sans CJK SC" w:eastAsia="Noto Sans CJK SC"/>
                <w:b w:val="0"/>
                <w:sz w:val="17"/>
              </w:rPr>
              <w:t>评价交叉口运行效率</w:t>
            </w:r>
          </w:p>
        </w:tc>
      </w:tr>
    </w:tbl>
    <w:p w14:paraId="24361D42">
      <w:pPr>
        <w:pStyle w:val="4"/>
        <w:widowControl/>
        <w:numPr>
          <w:ilvl w:val="0"/>
          <w:numId w:val="12"/>
        </w:numPr>
        <w:ind w:left="0" w:leftChars="0" w:firstLine="0" w:firstLineChars="0"/>
        <w:rPr>
          <w:rFonts w:hint="eastAsia" w:ascii="黑体" w:hAnsi="黑体" w:eastAsia="黑体" w:cs="黑体"/>
          <w:b w:val="0"/>
          <w:bdr w:val="none" w:sz="0" w:space="0"/>
        </w:rPr>
      </w:pPr>
      <w:r>
        <w:t>实训流程</w:t>
      </w:r>
    </w:p>
    <w:tbl>
      <w:tblPr>
        <w:tblStyle w:val="3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9454"/>
      </w:tblGrid>
      <w:tr w14:paraId="4E9D00F3">
        <w:trPr>
          <w:trHeight w:val="0" w:hRule="atLeast"/>
          <w:tblHeader/>
          <w:jc w:val="center"/>
        </w:trPr>
        <w:tc>
          <w:tcPr>
            <w:tcW w:w="408" w:type="pct"/>
            <w:shd w:val="clear" w:color="auto" w:fill="0B4F80"/>
            <w:vAlign w:val="center"/>
          </w:tcPr>
          <w:p w14:paraId="3E54DB60">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FFFFFF"/>
                <w:sz w:val="19"/>
              </w:rPr>
            </w:pPr>
            <w:r>
              <w:rPr>
                <w:rFonts w:ascii="Noto Sans CJK SC" w:hAnsi="Noto Sans CJK SC" w:eastAsia="Noto Sans CJK SC"/>
                <w:b/>
                <w:color w:val="FFFFFF"/>
                <w:sz w:val="19"/>
              </w:rPr>
              <w:t>环节</w:t>
            </w:r>
          </w:p>
        </w:tc>
        <w:tc>
          <w:tcPr>
            <w:tcW w:w="4591" w:type="pct"/>
            <w:shd w:val="clear" w:color="auto" w:fill="0B4F80"/>
            <w:vAlign w:val="center"/>
          </w:tcPr>
          <w:p w14:paraId="69DFC5E6">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FFFFFF"/>
                <w:sz w:val="19"/>
              </w:rPr>
            </w:pPr>
            <w:r>
              <w:rPr>
                <w:rFonts w:ascii="Noto Sans CJK SC" w:hAnsi="Noto Sans CJK SC" w:eastAsia="Noto Sans CJK SC"/>
                <w:b/>
                <w:color w:val="FFFFFF"/>
                <w:sz w:val="19"/>
              </w:rPr>
              <w:t>操作说明</w:t>
            </w:r>
          </w:p>
        </w:tc>
      </w:tr>
      <w:tr w14:paraId="317C0891">
        <w:trPr>
          <w:trHeight w:val="0" w:hRule="atLeast"/>
          <w:jc w:val="center"/>
        </w:trPr>
        <w:tc>
          <w:tcPr>
            <w:tcW w:w="408" w:type="pct"/>
            <w:vAlign w:val="center"/>
          </w:tcPr>
          <w:p w14:paraId="6249C082">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导入</w:t>
            </w:r>
          </w:p>
        </w:tc>
        <w:tc>
          <w:tcPr>
            <w:tcW w:w="4591" w:type="pct"/>
            <w:vAlign w:val="center"/>
          </w:tcPr>
          <w:p w14:paraId="3125116C">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教师通过作品导览和驾驶舱说明案例背景、课程知识点和当前交通态势。</w:t>
            </w:r>
          </w:p>
        </w:tc>
      </w:tr>
      <w:tr w14:paraId="7B6C10F3">
        <w:trPr>
          <w:trHeight w:val="0" w:hRule="atLeast"/>
          <w:jc w:val="center"/>
        </w:trPr>
        <w:tc>
          <w:tcPr>
            <w:tcW w:w="408" w:type="pct"/>
            <w:vAlign w:val="center"/>
          </w:tcPr>
          <w:p w14:paraId="2D3CDC7E">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感知</w:t>
            </w:r>
          </w:p>
        </w:tc>
        <w:tc>
          <w:tcPr>
            <w:tcW w:w="4591" w:type="pct"/>
            <w:vAlign w:val="center"/>
          </w:tcPr>
          <w:p w14:paraId="7356DD22">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学生读取流量、速度、事故、违法和 ETC 超速等数据，判断运行状态。</w:t>
            </w:r>
          </w:p>
        </w:tc>
      </w:tr>
      <w:tr w14:paraId="235B7A7C">
        <w:trPr>
          <w:trHeight w:val="0" w:hRule="atLeast"/>
          <w:jc w:val="center"/>
        </w:trPr>
        <w:tc>
          <w:tcPr>
            <w:tcW w:w="408" w:type="pct"/>
            <w:vAlign w:val="center"/>
          </w:tcPr>
          <w:p w14:paraId="25F2506A">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映射</w:t>
            </w:r>
          </w:p>
        </w:tc>
        <w:tc>
          <w:tcPr>
            <w:tcW w:w="4591" w:type="pct"/>
            <w:vAlign w:val="center"/>
          </w:tcPr>
          <w:p w14:paraId="7D916299">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进入 3D 数模页面，把数据变化映射到道路、车道、信号、车辆和事件对象。</w:t>
            </w:r>
          </w:p>
        </w:tc>
      </w:tr>
      <w:tr w14:paraId="5D4CB5A7">
        <w:trPr>
          <w:trHeight w:val="0" w:hRule="atLeast"/>
          <w:jc w:val="center"/>
        </w:trPr>
        <w:tc>
          <w:tcPr>
            <w:tcW w:w="408" w:type="pct"/>
            <w:vAlign w:val="center"/>
          </w:tcPr>
          <w:p w14:paraId="22622466">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决策</w:t>
            </w:r>
          </w:p>
        </w:tc>
        <w:tc>
          <w:tcPr>
            <w:tcW w:w="4591" w:type="pct"/>
            <w:vAlign w:val="center"/>
          </w:tcPr>
          <w:p w14:paraId="077B80F9">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学生设置信号周期、绿信比、绕行诱导和事件管控方案。</w:t>
            </w:r>
          </w:p>
        </w:tc>
      </w:tr>
      <w:tr w14:paraId="32E3E287">
        <w:trPr>
          <w:trHeight w:val="0" w:hRule="atLeast"/>
          <w:jc w:val="center"/>
        </w:trPr>
        <w:tc>
          <w:tcPr>
            <w:tcW w:w="408" w:type="pct"/>
            <w:vAlign w:val="center"/>
          </w:tcPr>
          <w:p w14:paraId="7990F471">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推演</w:t>
            </w:r>
          </w:p>
        </w:tc>
        <w:tc>
          <w:tcPr>
            <w:tcW w:w="4591" w:type="pct"/>
            <w:vAlign w:val="center"/>
          </w:tcPr>
          <w:p w14:paraId="70ABCE21">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系统比较方案实施前后指标变化，并给出结果说明。</w:t>
            </w:r>
          </w:p>
        </w:tc>
      </w:tr>
      <w:tr w14:paraId="744BF38B">
        <w:trPr>
          <w:trHeight w:val="0" w:hRule="atLeast"/>
          <w:jc w:val="center"/>
        </w:trPr>
        <w:tc>
          <w:tcPr>
            <w:tcW w:w="408" w:type="pct"/>
            <w:vAlign w:val="center"/>
          </w:tcPr>
          <w:p w14:paraId="556E334D">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评价</w:t>
            </w:r>
          </w:p>
        </w:tc>
        <w:tc>
          <w:tcPr>
            <w:tcW w:w="4591" w:type="pct"/>
            <w:vAlign w:val="center"/>
          </w:tcPr>
          <w:p w14:paraId="6EDE8806">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教师依据操作记录、指标改善和报告质量完成综合评价。</w:t>
            </w:r>
          </w:p>
        </w:tc>
      </w:tr>
      <w:tr w14:paraId="69484C8F">
        <w:trPr>
          <w:trHeight w:val="0" w:hRule="atLeast"/>
          <w:jc w:val="center"/>
        </w:trPr>
        <w:tc>
          <w:tcPr>
            <w:tcW w:w="408" w:type="pct"/>
            <w:vAlign w:val="center"/>
          </w:tcPr>
          <w:p w14:paraId="674872BE">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沉淀</w:t>
            </w:r>
          </w:p>
        </w:tc>
        <w:tc>
          <w:tcPr>
            <w:tcW w:w="4591" w:type="pct"/>
            <w:vAlign w:val="center"/>
          </w:tcPr>
          <w:p w14:paraId="27E6B670">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将平台页面、数据、模型、场景、评价和报告材料归档至教学成果中心。</w:t>
            </w:r>
          </w:p>
        </w:tc>
      </w:tr>
    </w:tbl>
    <w:p w14:paraId="3FA8CBF8">
      <w:pPr>
        <w:pStyle w:val="3"/>
        <w:widowControl/>
        <w:numPr>
          <w:ilvl w:val="0"/>
          <w:numId w:val="7"/>
        </w:numPr>
        <w:topLinePunct w:val="0"/>
        <w:ind w:left="0" w:leftChars="0" w:firstLine="0" w:firstLineChars="0"/>
        <w:rPr>
          <w:rFonts w:hint="eastAsia" w:ascii="黑体" w:hAnsi="黑体" w:eastAsia="黑体" w:cs="黑体"/>
          <w:b w:val="0"/>
          <w:bdr w:val="none" w:sz="0" w:space="0"/>
        </w:rPr>
      </w:pPr>
      <w:r>
        <w:t>数据指标与评价体系</w:t>
      </w:r>
    </w:p>
    <w:p w14:paraId="5A8BBDCF">
      <w:pPr>
        <w:pStyle w:val="4"/>
        <w:widowControl/>
        <w:numPr>
          <w:ilvl w:val="0"/>
          <w:numId w:val="13"/>
        </w:numPr>
        <w:ind w:left="0" w:leftChars="0" w:firstLine="0" w:firstLineChars="0"/>
        <w:rPr>
          <w:rFonts w:hint="eastAsia" w:ascii="黑体" w:hAnsi="黑体" w:eastAsia="黑体" w:cs="黑体"/>
          <w:b w:val="0"/>
          <w:bdr w:val="none" w:sz="0" w:space="0"/>
        </w:rPr>
      </w:pPr>
      <w:r>
        <w:t>数据指标体系</w:t>
      </w:r>
    </w:p>
    <w:tbl>
      <w:tblPr>
        <w:tblStyle w:val="3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3"/>
        <w:gridCol w:w="3821"/>
        <w:gridCol w:w="4500"/>
      </w:tblGrid>
      <w:tr w14:paraId="3144393C">
        <w:trPr>
          <w:trHeight w:val="0" w:hRule="atLeast"/>
          <w:tblHeader/>
          <w:jc w:val="center"/>
        </w:trPr>
        <w:tc>
          <w:tcPr>
            <w:tcW w:w="958" w:type="pct"/>
            <w:shd w:val="clear" w:color="auto" w:fill="0B4F80"/>
            <w:vAlign w:val="center"/>
          </w:tcPr>
          <w:p w14:paraId="7ED03706">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FFFFFF"/>
                <w:sz w:val="19"/>
              </w:rPr>
            </w:pPr>
            <w:r>
              <w:rPr>
                <w:rFonts w:ascii="Noto Sans CJK SC" w:hAnsi="Noto Sans CJK SC" w:eastAsia="Noto Sans CJK SC"/>
                <w:b/>
                <w:color w:val="FFFFFF"/>
                <w:sz w:val="19"/>
              </w:rPr>
              <w:t>数据类型</w:t>
            </w:r>
          </w:p>
        </w:tc>
        <w:tc>
          <w:tcPr>
            <w:tcW w:w="1855" w:type="pct"/>
            <w:shd w:val="clear" w:color="auto" w:fill="0B4F80"/>
            <w:vAlign w:val="center"/>
          </w:tcPr>
          <w:p w14:paraId="2814E9FF">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FFFFFF"/>
                <w:sz w:val="19"/>
              </w:rPr>
            </w:pPr>
            <w:r>
              <w:rPr>
                <w:rFonts w:ascii="Noto Sans CJK SC" w:hAnsi="Noto Sans CJK SC" w:eastAsia="Noto Sans CJK SC"/>
                <w:b/>
                <w:color w:val="FFFFFF"/>
                <w:sz w:val="19"/>
              </w:rPr>
              <w:t>对应页面</w:t>
            </w:r>
          </w:p>
        </w:tc>
        <w:tc>
          <w:tcPr>
            <w:tcW w:w="2185" w:type="pct"/>
            <w:shd w:val="clear" w:color="auto" w:fill="0B4F80"/>
            <w:vAlign w:val="center"/>
          </w:tcPr>
          <w:p w14:paraId="1DC82B51">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FFFFFF"/>
                <w:sz w:val="19"/>
              </w:rPr>
            </w:pPr>
            <w:r>
              <w:rPr>
                <w:rFonts w:ascii="Noto Sans CJK SC" w:hAnsi="Noto Sans CJK SC" w:eastAsia="Noto Sans CJK SC"/>
                <w:b/>
                <w:color w:val="FFFFFF"/>
                <w:sz w:val="19"/>
              </w:rPr>
              <w:t>作用</w:t>
            </w:r>
          </w:p>
        </w:tc>
      </w:tr>
      <w:tr w14:paraId="51E5507B">
        <w:trPr>
          <w:trHeight w:val="0" w:hRule="atLeast"/>
          <w:jc w:val="center"/>
        </w:trPr>
        <w:tc>
          <w:tcPr>
            <w:tcW w:w="958" w:type="pct"/>
            <w:vAlign w:val="center"/>
          </w:tcPr>
          <w:p w14:paraId="253191C8">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7"/>
              </w:rPr>
            </w:pPr>
            <w:r>
              <w:rPr>
                <w:rFonts w:ascii="Noto Sans CJK SC" w:hAnsi="Noto Sans CJK SC" w:eastAsia="Noto Sans CJK SC"/>
                <w:b w:val="0"/>
                <w:sz w:val="17"/>
              </w:rPr>
              <w:t>流量/速度数据</w:t>
            </w:r>
          </w:p>
        </w:tc>
        <w:tc>
          <w:tcPr>
            <w:tcW w:w="1855" w:type="pct"/>
            <w:vAlign w:val="center"/>
          </w:tcPr>
          <w:p w14:paraId="07B89DEE">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7"/>
              </w:rPr>
            </w:pPr>
            <w:r>
              <w:rPr>
                <w:rFonts w:ascii="Noto Sans CJK SC" w:hAnsi="Noto Sans CJK SC" w:eastAsia="Noto Sans CJK SC"/>
                <w:b w:val="0"/>
                <w:sz w:val="17"/>
              </w:rPr>
              <w:t>驾驶舱、数据感知、3D 数模、仿真推演</w:t>
            </w:r>
          </w:p>
        </w:tc>
        <w:tc>
          <w:tcPr>
            <w:tcW w:w="2185" w:type="pct"/>
            <w:vAlign w:val="center"/>
          </w:tcPr>
          <w:p w14:paraId="3D4EF6B2">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7"/>
              </w:rPr>
            </w:pPr>
            <w:r>
              <w:rPr>
                <w:rFonts w:ascii="Noto Sans CJK SC" w:hAnsi="Noto Sans CJK SC" w:eastAsia="Noto Sans CJK SC"/>
                <w:b w:val="0"/>
                <w:sz w:val="17"/>
              </w:rPr>
              <w:t>判断交通需求强度、运行效率和拥堵变化。</w:t>
            </w:r>
          </w:p>
        </w:tc>
      </w:tr>
      <w:tr w14:paraId="1CCB5613">
        <w:trPr>
          <w:trHeight w:val="0" w:hRule="atLeast"/>
          <w:jc w:val="center"/>
        </w:trPr>
        <w:tc>
          <w:tcPr>
            <w:tcW w:w="958" w:type="pct"/>
            <w:vAlign w:val="center"/>
          </w:tcPr>
          <w:p w14:paraId="396BE3E5">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7"/>
              </w:rPr>
            </w:pPr>
            <w:r>
              <w:rPr>
                <w:rFonts w:ascii="Noto Sans CJK SC" w:hAnsi="Noto Sans CJK SC" w:eastAsia="Noto Sans CJK SC"/>
                <w:b w:val="0"/>
                <w:sz w:val="17"/>
              </w:rPr>
              <w:t>排队长度/拥堵指数</w:t>
            </w:r>
          </w:p>
        </w:tc>
        <w:tc>
          <w:tcPr>
            <w:tcW w:w="1855" w:type="pct"/>
            <w:vAlign w:val="center"/>
          </w:tcPr>
          <w:p w14:paraId="3BCCBE39">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7"/>
              </w:rPr>
            </w:pPr>
            <w:r>
              <w:rPr>
                <w:rFonts w:ascii="Noto Sans CJK SC" w:hAnsi="Noto Sans CJK SC" w:eastAsia="Noto Sans CJK SC"/>
                <w:b w:val="0"/>
                <w:sz w:val="17"/>
              </w:rPr>
              <w:t>3D 数模、学生端、仿真推演</w:t>
            </w:r>
          </w:p>
        </w:tc>
        <w:tc>
          <w:tcPr>
            <w:tcW w:w="2185" w:type="pct"/>
            <w:vAlign w:val="center"/>
          </w:tcPr>
          <w:p w14:paraId="019311CD">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7"/>
              </w:rPr>
            </w:pPr>
            <w:r>
              <w:rPr>
                <w:rFonts w:ascii="Noto Sans CJK SC" w:hAnsi="Noto Sans CJK SC" w:eastAsia="Noto Sans CJK SC"/>
                <w:b w:val="0"/>
                <w:sz w:val="17"/>
              </w:rPr>
              <w:t>判断进口道瓶颈和优化方案效果。</w:t>
            </w:r>
          </w:p>
        </w:tc>
      </w:tr>
      <w:tr w14:paraId="2D35E414">
        <w:trPr>
          <w:trHeight w:val="0" w:hRule="atLeast"/>
          <w:jc w:val="center"/>
        </w:trPr>
        <w:tc>
          <w:tcPr>
            <w:tcW w:w="958" w:type="pct"/>
            <w:vAlign w:val="center"/>
          </w:tcPr>
          <w:p w14:paraId="40FD75D5">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7"/>
              </w:rPr>
            </w:pPr>
            <w:r>
              <w:rPr>
                <w:rFonts w:ascii="Noto Sans CJK SC" w:hAnsi="Noto Sans CJK SC" w:eastAsia="Noto Sans CJK SC"/>
                <w:b w:val="0"/>
                <w:sz w:val="17"/>
              </w:rPr>
              <w:t>事故/事件数据</w:t>
            </w:r>
          </w:p>
        </w:tc>
        <w:tc>
          <w:tcPr>
            <w:tcW w:w="1855" w:type="pct"/>
            <w:vAlign w:val="center"/>
          </w:tcPr>
          <w:p w14:paraId="7FE690FA">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7"/>
              </w:rPr>
            </w:pPr>
            <w:r>
              <w:rPr>
                <w:rFonts w:ascii="Noto Sans CJK SC" w:hAnsi="Noto Sans CJK SC" w:eastAsia="Noto Sans CJK SC"/>
                <w:b w:val="0"/>
                <w:sz w:val="17"/>
              </w:rPr>
              <w:t>数据感知、3D 数模、事件管控</w:t>
            </w:r>
          </w:p>
        </w:tc>
        <w:tc>
          <w:tcPr>
            <w:tcW w:w="2185" w:type="pct"/>
            <w:vAlign w:val="center"/>
          </w:tcPr>
          <w:p w14:paraId="43360BE7">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7"/>
              </w:rPr>
            </w:pPr>
            <w:r>
              <w:rPr>
                <w:rFonts w:ascii="Noto Sans CJK SC" w:hAnsi="Noto Sans CJK SC" w:eastAsia="Noto Sans CJK SC"/>
                <w:b w:val="0"/>
                <w:sz w:val="17"/>
              </w:rPr>
              <w:t>支撑事件分级、影响范围判断和管制策略设计。</w:t>
            </w:r>
          </w:p>
        </w:tc>
      </w:tr>
      <w:tr w14:paraId="166057ED">
        <w:trPr>
          <w:trHeight w:val="0" w:hRule="atLeast"/>
          <w:jc w:val="center"/>
        </w:trPr>
        <w:tc>
          <w:tcPr>
            <w:tcW w:w="958" w:type="pct"/>
            <w:vAlign w:val="center"/>
          </w:tcPr>
          <w:p w14:paraId="14EB9025">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7"/>
              </w:rPr>
            </w:pPr>
            <w:r>
              <w:rPr>
                <w:rFonts w:ascii="Noto Sans CJK SC" w:hAnsi="Noto Sans CJK SC" w:eastAsia="Noto Sans CJK SC"/>
                <w:b w:val="0"/>
                <w:sz w:val="17"/>
              </w:rPr>
              <w:t>违法/超速数据</w:t>
            </w:r>
          </w:p>
        </w:tc>
        <w:tc>
          <w:tcPr>
            <w:tcW w:w="1855" w:type="pct"/>
            <w:vAlign w:val="center"/>
          </w:tcPr>
          <w:p w14:paraId="1241BAA6">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7"/>
              </w:rPr>
            </w:pPr>
            <w:r>
              <w:rPr>
                <w:rFonts w:ascii="Noto Sans CJK SC" w:hAnsi="Noto Sans CJK SC" w:eastAsia="Noto Sans CJK SC"/>
                <w:b w:val="0"/>
                <w:sz w:val="17"/>
              </w:rPr>
              <w:t>数据感知、评价复盘</w:t>
            </w:r>
          </w:p>
        </w:tc>
        <w:tc>
          <w:tcPr>
            <w:tcW w:w="2185" w:type="pct"/>
            <w:vAlign w:val="center"/>
          </w:tcPr>
          <w:p w14:paraId="1B44850B">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7"/>
              </w:rPr>
            </w:pPr>
            <w:r>
              <w:rPr>
                <w:rFonts w:ascii="Noto Sans CJK SC" w:hAnsi="Noto Sans CJK SC" w:eastAsia="Noto Sans CJK SC"/>
                <w:b w:val="0"/>
                <w:sz w:val="17"/>
              </w:rPr>
              <w:t>支撑交通安全风险研判。</w:t>
            </w:r>
          </w:p>
        </w:tc>
      </w:tr>
      <w:tr w14:paraId="536F23E2">
        <w:trPr>
          <w:trHeight w:val="0" w:hRule="atLeast"/>
          <w:jc w:val="center"/>
        </w:trPr>
        <w:tc>
          <w:tcPr>
            <w:tcW w:w="958" w:type="pct"/>
            <w:vAlign w:val="center"/>
          </w:tcPr>
          <w:p w14:paraId="19AD9E92">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7"/>
              </w:rPr>
            </w:pPr>
            <w:r>
              <w:rPr>
                <w:rFonts w:ascii="Noto Sans CJK SC" w:hAnsi="Noto Sans CJK SC" w:eastAsia="Noto Sans CJK SC"/>
                <w:b w:val="0"/>
                <w:sz w:val="17"/>
              </w:rPr>
              <w:t>任务/评价数据</w:t>
            </w:r>
          </w:p>
        </w:tc>
        <w:tc>
          <w:tcPr>
            <w:tcW w:w="1855" w:type="pct"/>
            <w:vAlign w:val="center"/>
          </w:tcPr>
          <w:p w14:paraId="3FF813E6">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7"/>
              </w:rPr>
            </w:pPr>
            <w:r>
              <w:rPr>
                <w:rFonts w:ascii="Noto Sans CJK SC" w:hAnsi="Noto Sans CJK SC" w:eastAsia="Noto Sans CJK SC"/>
                <w:b w:val="0"/>
                <w:sz w:val="17"/>
              </w:rPr>
              <w:t>教师端、学生端、评价复盘</w:t>
            </w:r>
          </w:p>
        </w:tc>
        <w:tc>
          <w:tcPr>
            <w:tcW w:w="2185" w:type="pct"/>
            <w:vAlign w:val="center"/>
          </w:tcPr>
          <w:p w14:paraId="27203843">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7"/>
              </w:rPr>
            </w:pPr>
            <w:r>
              <w:rPr>
                <w:rFonts w:ascii="Noto Sans CJK SC" w:hAnsi="Noto Sans CJK SC" w:eastAsia="Noto Sans CJK SC"/>
                <w:b w:val="0"/>
                <w:sz w:val="17"/>
              </w:rPr>
              <w:t>支撑过程记录、能力评价和报告生成。</w:t>
            </w:r>
          </w:p>
        </w:tc>
      </w:tr>
    </w:tbl>
    <w:p w14:paraId="3D55A19E">
      <w:pPr>
        <w:pStyle w:val="4"/>
        <w:widowControl/>
        <w:numPr>
          <w:ilvl w:val="0"/>
          <w:numId w:val="13"/>
        </w:numPr>
        <w:ind w:left="0" w:leftChars="0" w:firstLine="0" w:firstLineChars="0"/>
        <w:rPr>
          <w:rFonts w:hint="eastAsia" w:ascii="黑体" w:hAnsi="黑体" w:eastAsia="黑体" w:cs="黑体"/>
          <w:b w:val="0"/>
          <w:bdr w:val="none" w:sz="0" w:space="0"/>
        </w:rPr>
      </w:pPr>
      <w:r>
        <w:t>评价体系</w:t>
      </w:r>
    </w:p>
    <w:tbl>
      <w:tblPr>
        <w:tblStyle w:val="3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4"/>
        <w:gridCol w:w="8550"/>
      </w:tblGrid>
      <w:tr w14:paraId="19108F02">
        <w:trPr>
          <w:trHeight w:val="0" w:hRule="atLeast"/>
          <w:tblHeader/>
          <w:jc w:val="center"/>
        </w:trPr>
        <w:tc>
          <w:tcPr>
            <w:tcW w:w="847" w:type="pct"/>
            <w:shd w:val="clear" w:color="auto" w:fill="0B4F80"/>
            <w:vAlign w:val="center"/>
          </w:tcPr>
          <w:p w14:paraId="4E8358A6">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b/>
                <w:sz w:val="19"/>
              </w:rPr>
            </w:pPr>
            <w:r>
              <w:rPr>
                <w:rFonts w:ascii="Noto Sans CJK SC" w:hAnsi="Noto Sans CJK SC" w:eastAsia="Noto Sans CJK SC"/>
                <w:b/>
                <w:color w:val="FFFFFF"/>
                <w:sz w:val="19"/>
              </w:rPr>
              <w:t>评价维度</w:t>
            </w:r>
          </w:p>
        </w:tc>
        <w:tc>
          <w:tcPr>
            <w:tcW w:w="4152" w:type="pct"/>
            <w:shd w:val="clear" w:color="auto" w:fill="0B4F80"/>
            <w:vAlign w:val="center"/>
          </w:tcPr>
          <w:p w14:paraId="275A62DE">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b/>
                <w:sz w:val="19"/>
              </w:rPr>
            </w:pPr>
            <w:r>
              <w:rPr>
                <w:rFonts w:ascii="Noto Sans CJK SC" w:hAnsi="Noto Sans CJK SC" w:eastAsia="Noto Sans CJK SC"/>
                <w:b/>
                <w:color w:val="FFFFFF"/>
                <w:sz w:val="19"/>
              </w:rPr>
              <w:t>评价重点</w:t>
            </w:r>
          </w:p>
        </w:tc>
      </w:tr>
      <w:tr w14:paraId="55A93DEF">
        <w:trPr>
          <w:trHeight w:val="0" w:hRule="atLeast"/>
          <w:jc w:val="center"/>
        </w:trPr>
        <w:tc>
          <w:tcPr>
            <w:tcW w:w="847" w:type="pct"/>
            <w:vAlign w:val="center"/>
          </w:tcPr>
          <w:p w14:paraId="775743EB">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问题识别</w:t>
            </w:r>
          </w:p>
        </w:tc>
        <w:tc>
          <w:tcPr>
            <w:tcW w:w="4152" w:type="pct"/>
            <w:vAlign w:val="center"/>
          </w:tcPr>
          <w:p w14:paraId="14DE02C8">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是否准确识别拥堵瓶颈、事故影响和风险点。</w:t>
            </w:r>
          </w:p>
        </w:tc>
      </w:tr>
      <w:tr w14:paraId="3EDF272E">
        <w:trPr>
          <w:trHeight w:val="0" w:hRule="atLeast"/>
          <w:jc w:val="center"/>
        </w:trPr>
        <w:tc>
          <w:tcPr>
            <w:tcW w:w="847" w:type="pct"/>
            <w:vAlign w:val="center"/>
          </w:tcPr>
          <w:p w14:paraId="5C202DB4">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数据分析</w:t>
            </w:r>
          </w:p>
        </w:tc>
        <w:tc>
          <w:tcPr>
            <w:tcW w:w="4152" w:type="pct"/>
            <w:vAlign w:val="center"/>
          </w:tcPr>
          <w:p w14:paraId="58079849">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是否能够解释流量、速度、排队、延误和风险指标。</w:t>
            </w:r>
          </w:p>
        </w:tc>
      </w:tr>
      <w:tr w14:paraId="62606163">
        <w:trPr>
          <w:trHeight w:val="0" w:hRule="atLeast"/>
          <w:jc w:val="center"/>
        </w:trPr>
        <w:tc>
          <w:tcPr>
            <w:tcW w:w="847" w:type="pct"/>
            <w:vAlign w:val="center"/>
          </w:tcPr>
          <w:p w14:paraId="0D3BC5F5">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方案设计</w:t>
            </w:r>
          </w:p>
        </w:tc>
        <w:tc>
          <w:tcPr>
            <w:tcW w:w="4152" w:type="pct"/>
            <w:vAlign w:val="center"/>
          </w:tcPr>
          <w:p w14:paraId="778A1C6B">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是否合理设置信号参数、绕行路线和事件管控措施。</w:t>
            </w:r>
          </w:p>
        </w:tc>
      </w:tr>
      <w:tr w14:paraId="47A968FC">
        <w:trPr>
          <w:trHeight w:val="0" w:hRule="atLeast"/>
          <w:jc w:val="center"/>
        </w:trPr>
        <w:tc>
          <w:tcPr>
            <w:tcW w:w="847" w:type="pct"/>
            <w:vAlign w:val="center"/>
          </w:tcPr>
          <w:p w14:paraId="4B482AC7">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仿真改善</w:t>
            </w:r>
          </w:p>
        </w:tc>
        <w:tc>
          <w:tcPr>
            <w:tcW w:w="4152" w:type="pct"/>
            <w:vAlign w:val="center"/>
          </w:tcPr>
          <w:p w14:paraId="4304821C">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是否通过指标对比说明方案有效性。</w:t>
            </w:r>
          </w:p>
        </w:tc>
      </w:tr>
      <w:tr w14:paraId="2A2315F8">
        <w:trPr>
          <w:trHeight w:val="0" w:hRule="atLeast"/>
          <w:jc w:val="center"/>
        </w:trPr>
        <w:tc>
          <w:tcPr>
            <w:tcW w:w="847" w:type="pct"/>
            <w:vAlign w:val="center"/>
          </w:tcPr>
          <w:p w14:paraId="141E6277">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应急处置</w:t>
            </w:r>
          </w:p>
        </w:tc>
        <w:tc>
          <w:tcPr>
            <w:tcW w:w="4152" w:type="pct"/>
            <w:vAlign w:val="center"/>
          </w:tcPr>
          <w:p w14:paraId="46CF0BAA">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是否考虑管制范围、二次事故风险和通行恢复。</w:t>
            </w:r>
          </w:p>
        </w:tc>
      </w:tr>
      <w:tr w14:paraId="1A38BA12">
        <w:trPr>
          <w:trHeight w:val="0" w:hRule="atLeast"/>
          <w:jc w:val="center"/>
        </w:trPr>
        <w:tc>
          <w:tcPr>
            <w:tcW w:w="847" w:type="pct"/>
            <w:vAlign w:val="center"/>
          </w:tcPr>
          <w:p w14:paraId="59E1C51B">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复盘报告</w:t>
            </w:r>
          </w:p>
        </w:tc>
        <w:tc>
          <w:tcPr>
            <w:tcW w:w="4152" w:type="pct"/>
            <w:vAlign w:val="center"/>
          </w:tcPr>
          <w:p w14:paraId="38DE3668">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是否形成结构清晰、证据完整、结论明确的实训报告。</w:t>
            </w:r>
          </w:p>
        </w:tc>
      </w:tr>
    </w:tbl>
    <w:p w14:paraId="4182DE00">
      <w:pPr>
        <w:pageBreakBefore w:val="0"/>
        <w:widowControl/>
        <w:kinsoku/>
        <w:wordWrap/>
        <w:overflowPunct/>
        <w:topLinePunct w:val="0"/>
        <w:autoSpaceDE/>
        <w:autoSpaceDN/>
        <w:bidi w:val="0"/>
        <w:adjustRightInd/>
        <w:snapToGrid/>
        <w:spacing w:after="120" w:line="288" w:lineRule="auto"/>
        <w:ind w:firstLine="420" w:firstLineChars="200"/>
        <w:jc w:val="both"/>
        <w:textAlignment w:val="auto"/>
      </w:pPr>
      <w:r>
        <w:rPr>
          <w:rFonts w:ascii="Noto Sans CJK SC" w:hAnsi="Noto Sans CJK SC" w:eastAsia="Noto Sans CJK SC"/>
        </w:rPr>
        <w:drawing>
          <wp:inline distT="0" distB="0" distL="114300" distR="114300">
            <wp:extent cx="5577840" cy="3067685"/>
            <wp:effectExtent l="0" t="0" r="1016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1"/>
                    <a:stretch>
                      <a:fillRect/>
                    </a:stretch>
                  </pic:blipFill>
                  <pic:spPr>
                    <a:xfrm>
                      <a:off x="0" y="0"/>
                      <a:ext cx="5577840" cy="3067812"/>
                    </a:xfrm>
                    <a:prstGeom prst="rect">
                      <a:avLst/>
                    </a:prstGeom>
                  </pic:spPr>
                </pic:pic>
              </a:graphicData>
            </a:graphic>
          </wp:inline>
        </w:drawing>
      </w:r>
    </w:p>
    <w:p w14:paraId="6EC4C6C9">
      <w:pPr>
        <w:pStyle w:val="167"/>
        <w:widowControl/>
      </w:pPr>
      <w:r>
        <w:t>图 8-1 典型实训场景仿真前后指标对比图</w:t>
      </w:r>
    </w:p>
    <w:p w14:paraId="5A590D39">
      <w:pPr>
        <w:pStyle w:val="3"/>
        <w:widowControl/>
        <w:numPr>
          <w:ilvl w:val="0"/>
          <w:numId w:val="7"/>
        </w:numPr>
        <w:topLinePunct w:val="0"/>
        <w:ind w:left="0" w:leftChars="0" w:firstLine="0" w:firstLineChars="0"/>
        <w:rPr>
          <w:rFonts w:hint="eastAsia" w:ascii="黑体" w:hAnsi="黑体" w:eastAsia="黑体" w:cs="黑体"/>
          <w:b w:val="0"/>
          <w:bdr w:val="none" w:sz="0" w:space="0"/>
        </w:rPr>
      </w:pPr>
      <w:r>
        <w:t>技术实现与运行部署</w:t>
      </w:r>
    </w:p>
    <w:p w14:paraId="5B00C6DA">
      <w:pPr>
        <w:pStyle w:val="4"/>
        <w:widowControl/>
        <w:numPr>
          <w:ilvl w:val="0"/>
          <w:numId w:val="14"/>
        </w:numPr>
        <w:ind w:left="0" w:leftChars="0" w:firstLine="0" w:firstLineChars="0"/>
        <w:rPr>
          <w:rFonts w:hint="eastAsia" w:ascii="黑体" w:hAnsi="黑体" w:eastAsia="黑体" w:cs="黑体"/>
          <w:b w:val="0"/>
          <w:bdr w:val="none" w:sz="0" w:space="0"/>
        </w:rPr>
      </w:pPr>
      <w:r>
        <w:t>技术实现</w:t>
      </w:r>
    </w:p>
    <w:tbl>
      <w:tblPr>
        <w:tblStyle w:val="3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6"/>
        <w:gridCol w:w="8618"/>
      </w:tblGrid>
      <w:tr w14:paraId="48D58620">
        <w:trPr>
          <w:trHeight w:val="0" w:hRule="atLeast"/>
          <w:tblHeader/>
          <w:jc w:val="center"/>
        </w:trPr>
        <w:tc>
          <w:tcPr>
            <w:tcW w:w="814" w:type="pct"/>
            <w:shd w:val="clear" w:color="auto" w:fill="0B4F80"/>
            <w:vAlign w:val="center"/>
          </w:tcPr>
          <w:p w14:paraId="47E738E5">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b/>
                <w:sz w:val="19"/>
              </w:rPr>
            </w:pPr>
            <w:r>
              <w:rPr>
                <w:rFonts w:ascii="Noto Sans CJK SC" w:hAnsi="Noto Sans CJK SC" w:eastAsia="Noto Sans CJK SC"/>
                <w:b/>
                <w:color w:val="FFFFFF"/>
                <w:sz w:val="19"/>
              </w:rPr>
              <w:t>类别</w:t>
            </w:r>
          </w:p>
        </w:tc>
        <w:tc>
          <w:tcPr>
            <w:tcW w:w="4185" w:type="pct"/>
            <w:shd w:val="clear" w:color="auto" w:fill="0B4F80"/>
            <w:vAlign w:val="center"/>
          </w:tcPr>
          <w:p w14:paraId="2C3817D4">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b/>
                <w:sz w:val="19"/>
              </w:rPr>
            </w:pPr>
            <w:r>
              <w:rPr>
                <w:rFonts w:ascii="Noto Sans CJK SC" w:hAnsi="Noto Sans CJK SC" w:eastAsia="Noto Sans CJK SC"/>
                <w:b/>
                <w:color w:val="FFFFFF"/>
                <w:sz w:val="19"/>
              </w:rPr>
              <w:t>实现内容</w:t>
            </w:r>
          </w:p>
        </w:tc>
      </w:tr>
      <w:tr w14:paraId="0A97AAAD">
        <w:trPr>
          <w:trHeight w:val="0" w:hRule="atLeast"/>
          <w:jc w:val="center"/>
        </w:trPr>
        <w:tc>
          <w:tcPr>
            <w:tcW w:w="814" w:type="pct"/>
            <w:vAlign w:val="center"/>
          </w:tcPr>
          <w:p w14:paraId="03E2EE9E">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前端框架</w:t>
            </w:r>
          </w:p>
        </w:tc>
        <w:tc>
          <w:tcPr>
            <w:tcW w:w="4185" w:type="pct"/>
            <w:vAlign w:val="center"/>
          </w:tcPr>
          <w:p w14:paraId="227410DC">
            <w:pPr>
              <w:pageBreakBefore w:val="0"/>
              <w:widowControl/>
              <w:tabs>
                <w:tab w:val="left" w:pos="342"/>
              </w:tabs>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9"/>
              </w:rPr>
            </w:pPr>
            <w:r>
              <w:rPr>
                <w:rFonts w:ascii="Noto Sans CJK SC" w:hAnsi="Noto Sans CJK SC" w:eastAsia="Noto Sans CJK SC"/>
                <w:b w:val="0"/>
                <w:sz w:val="19"/>
              </w:rPr>
              <w:t>React 18、Vite 5、TypeScript、React Router</w:t>
            </w:r>
          </w:p>
        </w:tc>
      </w:tr>
      <w:tr w14:paraId="0F83972C">
        <w:trPr>
          <w:trHeight w:val="0" w:hRule="atLeast"/>
          <w:jc w:val="center"/>
        </w:trPr>
        <w:tc>
          <w:tcPr>
            <w:tcW w:w="814" w:type="pct"/>
            <w:vAlign w:val="center"/>
          </w:tcPr>
          <w:p w14:paraId="63A458B4">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界面与图表</w:t>
            </w:r>
          </w:p>
        </w:tc>
        <w:tc>
          <w:tcPr>
            <w:tcW w:w="4185" w:type="pct"/>
            <w:vAlign w:val="center"/>
          </w:tcPr>
          <w:p w14:paraId="1A8F55D4">
            <w:pPr>
              <w:pageBreakBefore w:val="0"/>
              <w:widowControl/>
              <w:tabs>
                <w:tab w:val="left" w:pos="342"/>
              </w:tabs>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9"/>
              </w:rPr>
            </w:pPr>
            <w:r>
              <w:rPr>
                <w:rFonts w:ascii="Noto Sans CJK SC" w:hAnsi="Noto Sans CJK SC" w:eastAsia="Noto Sans CJK SC"/>
                <w:b w:val="0"/>
                <w:sz w:val="19"/>
              </w:rPr>
              <w:t>Ant Design、ECharts、TailwindCSS</w:t>
            </w:r>
          </w:p>
        </w:tc>
      </w:tr>
      <w:tr w14:paraId="654CE851">
        <w:trPr>
          <w:trHeight w:val="0" w:hRule="atLeast"/>
          <w:jc w:val="center"/>
        </w:trPr>
        <w:tc>
          <w:tcPr>
            <w:tcW w:w="814" w:type="pct"/>
            <w:vAlign w:val="center"/>
          </w:tcPr>
          <w:p w14:paraId="6F7090F2">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三维与空间表达</w:t>
            </w:r>
          </w:p>
        </w:tc>
        <w:tc>
          <w:tcPr>
            <w:tcW w:w="4185" w:type="pct"/>
            <w:vAlign w:val="center"/>
          </w:tcPr>
          <w:p w14:paraId="4C716FCF">
            <w:pPr>
              <w:pageBreakBefore w:val="0"/>
              <w:widowControl/>
              <w:tabs>
                <w:tab w:val="left" w:pos="342"/>
              </w:tabs>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9"/>
              </w:rPr>
            </w:pPr>
            <w:r>
              <w:rPr>
                <w:rFonts w:ascii="Noto Sans CJK SC" w:hAnsi="Noto Sans CJK SC" w:eastAsia="Noto Sans CJK SC"/>
                <w:b w:val="0"/>
                <w:sz w:val="19"/>
              </w:rPr>
              <w:t>Three.js、GIS 路网示意、局部 3D 交叉口对象映射</w:t>
            </w:r>
          </w:p>
        </w:tc>
      </w:tr>
      <w:tr w14:paraId="14854995">
        <w:trPr>
          <w:trHeight w:val="0" w:hRule="atLeast"/>
          <w:jc w:val="center"/>
        </w:trPr>
        <w:tc>
          <w:tcPr>
            <w:tcW w:w="814" w:type="pct"/>
            <w:vAlign w:val="center"/>
          </w:tcPr>
          <w:p w14:paraId="70ACD73B">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数据组织</w:t>
            </w:r>
          </w:p>
        </w:tc>
        <w:tc>
          <w:tcPr>
            <w:tcW w:w="4185" w:type="pct"/>
            <w:vAlign w:val="center"/>
          </w:tcPr>
          <w:p w14:paraId="3AF59AA3">
            <w:pPr>
              <w:pageBreakBefore w:val="0"/>
              <w:widowControl/>
              <w:tabs>
                <w:tab w:val="left" w:pos="342"/>
              </w:tabs>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9"/>
              </w:rPr>
            </w:pPr>
            <w:r>
              <w:rPr>
                <w:rFonts w:ascii="Noto Sans CJK SC" w:hAnsi="Noto Sans CJK SC" w:eastAsia="Noto Sans CJK SC"/>
                <w:b w:val="0"/>
                <w:sz w:val="19"/>
              </w:rPr>
              <w:t>统一教学样例数据文件：src/data/traffic-insight.mock.json</w:t>
            </w:r>
          </w:p>
        </w:tc>
      </w:tr>
      <w:tr w14:paraId="305EF3BA">
        <w:trPr>
          <w:trHeight w:val="0" w:hRule="atLeast"/>
          <w:jc w:val="center"/>
        </w:trPr>
        <w:tc>
          <w:tcPr>
            <w:tcW w:w="814" w:type="pct"/>
            <w:vAlign w:val="center"/>
          </w:tcPr>
          <w:p w14:paraId="18DADA75">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页面组织</w:t>
            </w:r>
          </w:p>
        </w:tc>
        <w:tc>
          <w:tcPr>
            <w:tcW w:w="4185" w:type="pct"/>
            <w:vAlign w:val="center"/>
          </w:tcPr>
          <w:p w14:paraId="0D3479A8">
            <w:pPr>
              <w:pageBreakBefore w:val="0"/>
              <w:widowControl/>
              <w:tabs>
                <w:tab w:val="left" w:pos="342"/>
              </w:tabs>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9"/>
              </w:rPr>
            </w:pPr>
            <w:r>
              <w:rPr>
                <w:rFonts w:ascii="Noto Sans CJK SC" w:hAnsi="Noto Sans CJK SC" w:eastAsia="Noto Sans CJK SC"/>
                <w:b w:val="0"/>
                <w:sz w:val="19"/>
              </w:rPr>
              <w:t>作品导览、驾驶舱、数据感知、3D 数模、教师端、学生端、仿真推演、评价复盘、成果中心</w:t>
            </w:r>
          </w:p>
        </w:tc>
      </w:tr>
      <w:tr w14:paraId="1CF4E5C5">
        <w:trPr>
          <w:trHeight w:val="0" w:hRule="atLeast"/>
          <w:jc w:val="center"/>
        </w:trPr>
        <w:tc>
          <w:tcPr>
            <w:tcW w:w="814" w:type="pct"/>
            <w:vAlign w:val="center"/>
          </w:tcPr>
          <w:p w14:paraId="4EA465B0">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color w:val="0B4F80"/>
                <w:sz w:val="19"/>
              </w:rPr>
              <w:t>部署方式</w:t>
            </w:r>
          </w:p>
        </w:tc>
        <w:tc>
          <w:tcPr>
            <w:tcW w:w="4185" w:type="pct"/>
            <w:vAlign w:val="center"/>
          </w:tcPr>
          <w:p w14:paraId="6352A0D1">
            <w:pPr>
              <w:pageBreakBefore w:val="0"/>
              <w:widowControl/>
              <w:tabs>
                <w:tab w:val="left" w:pos="342"/>
              </w:tabs>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9"/>
              </w:rPr>
            </w:pPr>
            <w:r>
              <w:rPr>
                <w:rFonts w:ascii="Noto Sans CJK SC" w:hAnsi="Noto Sans CJK SC" w:eastAsia="Noto Sans CJK SC"/>
                <w:b w:val="0"/>
                <w:sz w:val="19"/>
              </w:rPr>
              <w:t>本地离线演示包 + 公网网页链接双备份</w:t>
            </w:r>
          </w:p>
        </w:tc>
      </w:tr>
    </w:tbl>
    <w:p w14:paraId="7B4F64B9">
      <w:pPr>
        <w:pStyle w:val="4"/>
        <w:widowControl/>
        <w:numPr>
          <w:ilvl w:val="0"/>
          <w:numId w:val="14"/>
        </w:numPr>
        <w:ind w:left="0" w:leftChars="0" w:firstLine="0" w:firstLineChars="0"/>
        <w:rPr>
          <w:rFonts w:hint="eastAsia" w:ascii="黑体" w:hAnsi="黑体" w:eastAsia="黑体" w:cs="黑体"/>
          <w:b w:val="0"/>
          <w:bdr w:val="none" w:sz="0" w:space="0"/>
        </w:rPr>
      </w:pPr>
      <w:r>
        <w:t>运行环境与访问方式</w:t>
      </w:r>
    </w:p>
    <w:tbl>
      <w:tblPr>
        <w:tblStyle w:val="3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0"/>
        <w:gridCol w:w="8894"/>
      </w:tblGrid>
      <w:tr w14:paraId="6FFAD58C">
        <w:trPr>
          <w:trHeight w:val="0" w:hRule="atLeast"/>
          <w:tblHeader/>
          <w:jc w:val="center"/>
        </w:trPr>
        <w:tc>
          <w:tcPr>
            <w:tcW w:w="680" w:type="pct"/>
            <w:shd w:val="clear" w:color="auto" w:fill="0B4F80"/>
            <w:vAlign w:val="center"/>
          </w:tcPr>
          <w:p w14:paraId="475AC0DC">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b/>
                <w:sz w:val="19"/>
              </w:rPr>
            </w:pPr>
            <w:r>
              <w:rPr>
                <w:rFonts w:ascii="Noto Sans CJK SC" w:hAnsi="Noto Sans CJK SC" w:eastAsia="Noto Sans CJK SC"/>
                <w:b/>
                <w:color w:val="FFFFFF"/>
                <w:sz w:val="19"/>
              </w:rPr>
              <w:t>环境项目</w:t>
            </w:r>
          </w:p>
        </w:tc>
        <w:tc>
          <w:tcPr>
            <w:tcW w:w="4319" w:type="pct"/>
            <w:shd w:val="clear" w:color="auto" w:fill="0B4F80"/>
            <w:vAlign w:val="center"/>
          </w:tcPr>
          <w:p w14:paraId="2928C80D">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b/>
                <w:sz w:val="19"/>
              </w:rPr>
            </w:pPr>
            <w:r>
              <w:rPr>
                <w:rFonts w:ascii="Noto Sans CJK SC" w:hAnsi="Noto Sans CJK SC" w:eastAsia="Noto Sans CJK SC"/>
                <w:b/>
                <w:color w:val="FFFFFF"/>
                <w:sz w:val="19"/>
              </w:rPr>
              <w:t>说明</w:t>
            </w:r>
          </w:p>
        </w:tc>
      </w:tr>
      <w:tr w14:paraId="34864871">
        <w:trPr>
          <w:trHeight w:val="0" w:hRule="atLeast"/>
          <w:jc w:val="center"/>
        </w:trPr>
        <w:tc>
          <w:tcPr>
            <w:tcW w:w="680" w:type="pct"/>
            <w:vAlign w:val="center"/>
          </w:tcPr>
          <w:p w14:paraId="230D24A7">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操作系统</w:t>
            </w:r>
          </w:p>
        </w:tc>
        <w:tc>
          <w:tcPr>
            <w:tcW w:w="4319" w:type="pct"/>
            <w:vAlign w:val="center"/>
          </w:tcPr>
          <w:p w14:paraId="26E1AFD0">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9"/>
              </w:rPr>
            </w:pPr>
            <w:r>
              <w:rPr>
                <w:rFonts w:ascii="Noto Sans CJK SC" w:hAnsi="Noto Sans CJK SC" w:eastAsia="Noto Sans CJK SC"/>
                <w:b w:val="0"/>
                <w:sz w:val="19"/>
              </w:rPr>
              <w:t>Windows 10/11 或 macOS 12 以上。</w:t>
            </w:r>
          </w:p>
        </w:tc>
      </w:tr>
      <w:tr w14:paraId="09DE3950">
        <w:trPr>
          <w:trHeight w:val="0" w:hRule="atLeast"/>
          <w:jc w:val="center"/>
        </w:trPr>
        <w:tc>
          <w:tcPr>
            <w:tcW w:w="680" w:type="pct"/>
            <w:vAlign w:val="center"/>
          </w:tcPr>
          <w:p w14:paraId="19AA77EB">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浏览器</w:t>
            </w:r>
          </w:p>
        </w:tc>
        <w:tc>
          <w:tcPr>
            <w:tcW w:w="4319" w:type="pct"/>
            <w:vAlign w:val="center"/>
          </w:tcPr>
          <w:p w14:paraId="584B4D59">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9"/>
              </w:rPr>
            </w:pPr>
            <w:r>
              <w:rPr>
                <w:rFonts w:ascii="Noto Sans CJK SC" w:hAnsi="Noto Sans CJK SC" w:eastAsia="Noto Sans CJK SC"/>
                <w:b w:val="0"/>
                <w:sz w:val="19"/>
              </w:rPr>
              <w:t>Chrome / Edge 最新版，适合前端路由、图表和 3D 页面展示。</w:t>
            </w:r>
          </w:p>
        </w:tc>
      </w:tr>
      <w:tr w14:paraId="143ED76D">
        <w:trPr>
          <w:trHeight w:val="0" w:hRule="atLeast"/>
          <w:jc w:val="center"/>
        </w:trPr>
        <w:tc>
          <w:tcPr>
            <w:tcW w:w="680" w:type="pct"/>
            <w:vAlign w:val="center"/>
          </w:tcPr>
          <w:p w14:paraId="56B8ECF5">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屏幕分辨率</w:t>
            </w:r>
          </w:p>
        </w:tc>
        <w:tc>
          <w:tcPr>
            <w:tcW w:w="4319" w:type="pct"/>
            <w:vAlign w:val="center"/>
          </w:tcPr>
          <w:p w14:paraId="23F01ED9">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9"/>
              </w:rPr>
            </w:pPr>
            <w:r>
              <w:rPr>
                <w:rFonts w:ascii="Noto Sans CJK SC" w:hAnsi="Noto Sans CJK SC" w:eastAsia="Noto Sans CJK SC"/>
                <w:b w:val="0"/>
                <w:sz w:val="19"/>
              </w:rPr>
              <w:t>建议 1920×1080 及以上，便于展示驾驶舱和 3D 数模页面。</w:t>
            </w:r>
          </w:p>
        </w:tc>
      </w:tr>
      <w:tr w14:paraId="52392646">
        <w:trPr>
          <w:trHeight w:val="0" w:hRule="atLeast"/>
          <w:jc w:val="center"/>
        </w:trPr>
        <w:tc>
          <w:tcPr>
            <w:tcW w:w="680" w:type="pct"/>
            <w:vAlign w:val="center"/>
          </w:tcPr>
          <w:p w14:paraId="1DCC2FB2">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网络环境</w:t>
            </w:r>
          </w:p>
        </w:tc>
        <w:tc>
          <w:tcPr>
            <w:tcW w:w="4319" w:type="pct"/>
            <w:vAlign w:val="center"/>
          </w:tcPr>
          <w:p w14:paraId="375213E2">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9"/>
              </w:rPr>
            </w:pPr>
            <w:r>
              <w:rPr>
                <w:rFonts w:ascii="Noto Sans CJK SC" w:hAnsi="Noto Sans CJK SC" w:eastAsia="Noto Sans CJK SC"/>
                <w:b w:val="0"/>
                <w:sz w:val="19"/>
              </w:rPr>
              <w:t>公网链接 + 离线包双备份，现场网络不稳定时使用离线包。</w:t>
            </w:r>
          </w:p>
        </w:tc>
      </w:tr>
      <w:tr w14:paraId="3AE7DF88">
        <w:trPr>
          <w:trHeight w:val="0" w:hRule="atLeast"/>
          <w:jc w:val="center"/>
        </w:trPr>
        <w:tc>
          <w:tcPr>
            <w:tcW w:w="680" w:type="pct"/>
            <w:vAlign w:val="center"/>
          </w:tcPr>
          <w:p w14:paraId="5E4865CA">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核心路由</w:t>
            </w:r>
          </w:p>
        </w:tc>
        <w:tc>
          <w:tcPr>
            <w:tcW w:w="4319" w:type="pct"/>
            <w:vAlign w:val="center"/>
          </w:tcPr>
          <w:p w14:paraId="5B5B262F">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left"/>
              <w:textAlignment w:val="auto"/>
              <w:rPr>
                <w:rFonts w:ascii="Noto Sans CJK SC" w:hAnsi="Noto Sans CJK SC" w:eastAsia="Noto Sans CJK SC"/>
                <w:b w:val="0"/>
                <w:sz w:val="19"/>
              </w:rPr>
            </w:pPr>
            <w:r>
              <w:rPr>
                <w:rFonts w:ascii="Noto Sans CJK SC" w:hAnsi="Noto Sans CJK SC" w:eastAsia="Noto Sans CJK SC"/>
                <w:b w:val="0"/>
                <w:sz w:val="19"/>
              </w:rPr>
              <w:t>/guide、/dashboard、/data、/3d-model、/teacher、/student、/simulation、/review、/matrix。</w:t>
            </w:r>
          </w:p>
        </w:tc>
      </w:tr>
    </w:tbl>
    <w:p w14:paraId="7A76546D">
      <w:pPr>
        <w:pStyle w:val="3"/>
        <w:widowControl/>
        <w:numPr>
          <w:ilvl w:val="0"/>
          <w:numId w:val="7"/>
        </w:numPr>
        <w:topLinePunct w:val="0"/>
        <w:ind w:left="0" w:leftChars="0" w:firstLine="0" w:firstLineChars="0"/>
        <w:rPr>
          <w:rFonts w:hint="eastAsia" w:ascii="黑体" w:hAnsi="黑体" w:eastAsia="黑体" w:cs="黑体"/>
          <w:b w:val="0"/>
          <w:bdr w:val="none" w:sz="0" w:space="0"/>
        </w:rPr>
      </w:pPr>
      <w:r>
        <w:t>项目创新点与关键难点</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96"/>
      </w:tblGrid>
      <w:tr w14:paraId="2CBBACA2">
        <w:trPr>
          <w:jc w:val="center"/>
        </w:trPr>
        <w:tc>
          <w:tcPr>
            <w:tcW w:w="5000" w:type="pct"/>
            <w:shd w:val="clear" w:color="auto" w:fill="0B4F80"/>
            <w:vAlign w:val="center"/>
          </w:tcPr>
          <w:p w14:paraId="158CF473">
            <w:pPr>
              <w:pageBreakBefore w:val="0"/>
              <w:widowControl/>
              <w:kinsoku/>
              <w:wordWrap/>
              <w:overflowPunct/>
              <w:topLinePunct w:val="0"/>
              <w:autoSpaceDE/>
              <w:autoSpaceDN/>
              <w:bidi w:val="0"/>
              <w:adjustRightInd/>
              <w:snapToGrid/>
              <w:spacing w:after="0" w:line="240" w:lineRule="auto"/>
              <w:textAlignment w:val="auto"/>
            </w:pPr>
            <w:r>
              <w:rPr>
                <w:rFonts w:ascii="Noto Sans CJK SC" w:hAnsi="Noto Sans CJK SC" w:eastAsia="Noto Sans CJK SC"/>
                <w:b/>
                <w:color w:val="FFFFFF"/>
                <w:sz w:val="20"/>
              </w:rPr>
              <w:t>创新点一：数据与 3D 数模双驱动</w:t>
            </w:r>
          </w:p>
        </w:tc>
      </w:tr>
      <w:tr w14:paraId="3A9388AC">
        <w:trPr>
          <w:jc w:val="center"/>
        </w:trPr>
        <w:tc>
          <w:tcPr>
            <w:tcW w:w="5000" w:type="pct"/>
            <w:shd w:val="clear" w:color="auto" w:fill="F2F7FC"/>
            <w:vAlign w:val="center"/>
          </w:tcPr>
          <w:p w14:paraId="70F75708">
            <w:pPr>
              <w:pageBreakBefore w:val="0"/>
              <w:widowControl/>
              <w:kinsoku/>
              <w:wordWrap/>
              <w:overflowPunct/>
              <w:topLinePunct w:val="0"/>
              <w:autoSpaceDE/>
              <w:autoSpaceDN/>
              <w:bidi w:val="0"/>
              <w:adjustRightInd/>
              <w:snapToGrid/>
              <w:spacing w:after="0" w:line="240" w:lineRule="auto"/>
              <w:ind w:firstLine="380" w:firstLineChars="200"/>
              <w:textAlignment w:val="auto"/>
            </w:pPr>
            <w:r>
              <w:rPr>
                <w:rFonts w:ascii="Noto Sans CJK SC" w:hAnsi="Noto Sans CJK SC" w:eastAsia="Noto Sans CJK SC"/>
                <w:b w:val="0"/>
                <w:color w:val="1F2933"/>
                <w:sz w:val="19"/>
              </w:rPr>
              <w:t>将交通运行样例数据映射到 GIS 路网热力、3D 道路光带、车辆队列、信号灯相位、事件点和绕行路线，使学生在可视化场景中理解交通系统运行状态。</w:t>
            </w:r>
          </w:p>
        </w:tc>
      </w:tr>
      <w:tr w14:paraId="77100A79">
        <w:trPr>
          <w:jc w:val="center"/>
        </w:trPr>
        <w:tc>
          <w:tcPr>
            <w:tcW w:w="5000" w:type="pct"/>
            <w:shd w:val="clear" w:color="auto" w:fill="0B4F80"/>
            <w:vAlign w:val="center"/>
          </w:tcPr>
          <w:p w14:paraId="07DFD38E">
            <w:pPr>
              <w:pageBreakBefore w:val="0"/>
              <w:widowControl/>
              <w:kinsoku/>
              <w:wordWrap/>
              <w:overflowPunct/>
              <w:topLinePunct w:val="0"/>
              <w:autoSpaceDE/>
              <w:autoSpaceDN/>
              <w:bidi w:val="0"/>
              <w:adjustRightInd/>
              <w:snapToGrid/>
              <w:spacing w:after="0" w:line="240" w:lineRule="auto"/>
              <w:textAlignment w:val="auto"/>
            </w:pPr>
            <w:r>
              <w:rPr>
                <w:rFonts w:ascii="Noto Sans CJK SC" w:hAnsi="Noto Sans CJK SC" w:eastAsia="Noto Sans CJK SC"/>
                <w:b/>
                <w:color w:val="FFFFFF"/>
                <w:sz w:val="20"/>
              </w:rPr>
              <w:t>创新点二：监控、预测、控制、评价闭环</w:t>
            </w:r>
          </w:p>
        </w:tc>
      </w:tr>
      <w:tr w14:paraId="45B154D4">
        <w:trPr>
          <w:jc w:val="center"/>
        </w:trPr>
        <w:tc>
          <w:tcPr>
            <w:tcW w:w="5000" w:type="pct"/>
            <w:shd w:val="clear" w:color="auto" w:fill="F2F7FC"/>
            <w:vAlign w:val="center"/>
          </w:tcPr>
          <w:p w14:paraId="5FE2531A">
            <w:pPr>
              <w:pageBreakBefore w:val="0"/>
              <w:widowControl/>
              <w:kinsoku/>
              <w:wordWrap/>
              <w:overflowPunct/>
              <w:topLinePunct w:val="0"/>
              <w:autoSpaceDE/>
              <w:autoSpaceDN/>
              <w:bidi w:val="0"/>
              <w:adjustRightInd/>
              <w:snapToGrid/>
              <w:spacing w:after="0" w:line="240" w:lineRule="auto"/>
              <w:ind w:firstLine="380" w:firstLineChars="200"/>
              <w:textAlignment w:val="auto"/>
            </w:pPr>
            <w:r>
              <w:rPr>
                <w:rFonts w:ascii="Noto Sans CJK SC" w:hAnsi="Noto Sans CJK SC" w:eastAsia="Noto Sans CJK SC"/>
                <w:b w:val="0"/>
                <w:color w:val="1F2933"/>
                <w:sz w:val="19"/>
              </w:rPr>
              <w:t>从态势感知进入仿真预测，再进入信号优化与事件管控，最后进入评价复盘，既对应真实智慧交通业务，也对应课程能力训练。</w:t>
            </w:r>
          </w:p>
        </w:tc>
      </w:tr>
      <w:tr w14:paraId="5981059D">
        <w:trPr>
          <w:jc w:val="center"/>
        </w:trPr>
        <w:tc>
          <w:tcPr>
            <w:tcW w:w="5000" w:type="pct"/>
            <w:shd w:val="clear" w:color="auto" w:fill="0B4F80"/>
            <w:vAlign w:val="center"/>
          </w:tcPr>
          <w:p w14:paraId="0DD2EA89">
            <w:pPr>
              <w:pageBreakBefore w:val="0"/>
              <w:widowControl/>
              <w:kinsoku/>
              <w:wordWrap/>
              <w:overflowPunct/>
              <w:topLinePunct w:val="0"/>
              <w:autoSpaceDE/>
              <w:autoSpaceDN/>
              <w:bidi w:val="0"/>
              <w:adjustRightInd/>
              <w:snapToGrid/>
              <w:spacing w:after="0" w:line="240" w:lineRule="auto"/>
              <w:textAlignment w:val="auto"/>
            </w:pPr>
            <w:r>
              <w:rPr>
                <w:rFonts w:ascii="Noto Sans CJK SC" w:hAnsi="Noto Sans CJK SC" w:eastAsia="Noto Sans CJK SC"/>
                <w:b/>
                <w:color w:val="FFFFFF"/>
                <w:sz w:val="20"/>
              </w:rPr>
              <w:t>创新点三：教师与学生双角色实训</w:t>
            </w:r>
          </w:p>
        </w:tc>
      </w:tr>
      <w:tr w14:paraId="49991A7B">
        <w:trPr>
          <w:jc w:val="center"/>
        </w:trPr>
        <w:tc>
          <w:tcPr>
            <w:tcW w:w="5000" w:type="pct"/>
            <w:shd w:val="clear" w:color="auto" w:fill="F2F7FC"/>
            <w:vAlign w:val="center"/>
          </w:tcPr>
          <w:p w14:paraId="7E749765">
            <w:pPr>
              <w:pageBreakBefore w:val="0"/>
              <w:widowControl/>
              <w:kinsoku/>
              <w:wordWrap/>
              <w:overflowPunct/>
              <w:topLinePunct w:val="0"/>
              <w:autoSpaceDE/>
              <w:autoSpaceDN/>
              <w:bidi w:val="0"/>
              <w:adjustRightInd/>
              <w:snapToGrid/>
              <w:spacing w:after="0" w:line="240" w:lineRule="auto"/>
              <w:ind w:firstLine="380" w:firstLineChars="200"/>
              <w:textAlignment w:val="auto"/>
            </w:pPr>
            <w:r>
              <w:rPr>
                <w:rFonts w:ascii="Noto Sans CJK SC" w:hAnsi="Noto Sans CJK SC" w:eastAsia="Noto Sans CJK SC"/>
                <w:b w:val="0"/>
                <w:color w:val="1F2933"/>
                <w:sz w:val="19"/>
              </w:rPr>
              <w:t>教师端组织课程、任务、案例、数据、参数、分组和评分标准；学生端完成问题识别、方案设计、仿真提交和结果复盘。</w:t>
            </w:r>
          </w:p>
        </w:tc>
      </w:tr>
      <w:tr w14:paraId="54DC69EE">
        <w:trPr>
          <w:jc w:val="center"/>
        </w:trPr>
        <w:tc>
          <w:tcPr>
            <w:tcW w:w="5000" w:type="pct"/>
            <w:shd w:val="clear" w:color="auto" w:fill="0B4F80"/>
            <w:vAlign w:val="center"/>
          </w:tcPr>
          <w:p w14:paraId="0FF6A1BF">
            <w:pPr>
              <w:pageBreakBefore w:val="0"/>
              <w:widowControl/>
              <w:kinsoku/>
              <w:wordWrap/>
              <w:overflowPunct/>
              <w:topLinePunct w:val="0"/>
              <w:autoSpaceDE/>
              <w:autoSpaceDN/>
              <w:bidi w:val="0"/>
              <w:adjustRightInd/>
              <w:snapToGrid/>
              <w:spacing w:after="0" w:line="240" w:lineRule="auto"/>
              <w:textAlignment w:val="auto"/>
            </w:pPr>
            <w:r>
              <w:rPr>
                <w:rFonts w:ascii="Noto Sans CJK SC" w:hAnsi="Noto Sans CJK SC" w:eastAsia="Noto Sans CJK SC"/>
                <w:b/>
                <w:color w:val="FFFFFF"/>
                <w:sz w:val="20"/>
              </w:rPr>
              <w:t>创新点四：可运行、可演示、可归档</w:t>
            </w:r>
          </w:p>
        </w:tc>
      </w:tr>
      <w:tr w14:paraId="77939310">
        <w:trPr>
          <w:jc w:val="center"/>
        </w:trPr>
        <w:tc>
          <w:tcPr>
            <w:tcW w:w="5000" w:type="pct"/>
            <w:shd w:val="clear" w:color="auto" w:fill="F2F7FC"/>
            <w:vAlign w:val="center"/>
          </w:tcPr>
          <w:p w14:paraId="7CFDED12">
            <w:pPr>
              <w:pageBreakBefore w:val="0"/>
              <w:widowControl/>
              <w:kinsoku/>
              <w:wordWrap/>
              <w:overflowPunct/>
              <w:topLinePunct w:val="0"/>
              <w:autoSpaceDE/>
              <w:autoSpaceDN/>
              <w:bidi w:val="0"/>
              <w:adjustRightInd/>
              <w:snapToGrid/>
              <w:spacing w:after="0" w:line="240" w:lineRule="auto"/>
              <w:ind w:firstLine="380" w:firstLineChars="200"/>
              <w:textAlignment w:val="auto"/>
            </w:pPr>
            <w:r>
              <w:rPr>
                <w:rFonts w:ascii="Noto Sans CJK SC" w:hAnsi="Noto Sans CJK SC" w:eastAsia="Noto Sans CJK SC"/>
                <w:b w:val="0"/>
                <w:color w:val="1F2933"/>
                <w:sz w:val="19"/>
              </w:rPr>
              <w:t>项目具有完整页面链路、标准演示路径、离线包、公网链接和文档材料，可支撑课堂教学、项目申报和答辩展示。</w:t>
            </w:r>
          </w:p>
        </w:tc>
      </w:tr>
    </w:tbl>
    <w:p w14:paraId="697D0BD8">
      <w:pPr>
        <w:pStyle w:val="4"/>
        <w:widowControl/>
      </w:pPr>
      <w:r>
        <w:t>10.2 关键难点</w:t>
      </w:r>
    </w:p>
    <w:p w14:paraId="345AE8FD">
      <w:pPr>
        <w:pStyle w:val="19"/>
        <w:widowControl/>
        <w:rPr>
          <w:rFonts w:ascii="Times New Roman" w:hAnsi="Times New Roman" w:eastAsia="宋体" w:cs="Times New Roman"/>
          <w:sz w:val="24"/>
          <w:szCs w:val="24"/>
        </w:rPr>
      </w:pPr>
      <w:r>
        <w:rPr>
          <w:rFonts w:ascii="Times New Roman" w:hAnsi="Times New Roman" w:eastAsia="宋体" w:cs="Times New Roman"/>
          <w:sz w:val="24"/>
          <w:szCs w:val="24"/>
        </w:rPr>
        <w:t>第一，如何避免系统停留在“好看的大屏”。本项目通过教师端、学生端、仿真推演和评价复盘，把展示页面转化为课堂教学流程。</w:t>
      </w:r>
    </w:p>
    <w:p w14:paraId="3078DBD5">
      <w:pPr>
        <w:pStyle w:val="19"/>
        <w:widowControl/>
        <w:rPr>
          <w:rFonts w:ascii="Times New Roman" w:hAnsi="Times New Roman" w:eastAsia="宋体" w:cs="Times New Roman"/>
          <w:sz w:val="24"/>
          <w:szCs w:val="24"/>
        </w:rPr>
      </w:pPr>
      <w:r>
        <w:rPr>
          <w:rFonts w:ascii="Times New Roman" w:hAnsi="Times New Roman" w:eastAsia="宋体" w:cs="Times New Roman"/>
          <w:sz w:val="24"/>
          <w:szCs w:val="24"/>
        </w:rPr>
        <w:t>第二，如何在没有真实接入交通平台的情况下保持可信度。项目采用统一样例数据和明确边界说明，重点验证教学逻辑、业务流程和平台原型，为后续真实接口接入保留扩展空间。</w:t>
      </w:r>
    </w:p>
    <w:p w14:paraId="46B343E5">
      <w:pPr>
        <w:pStyle w:val="19"/>
        <w:widowControl/>
        <w:rPr>
          <w:rFonts w:ascii="Times New Roman" w:hAnsi="Times New Roman" w:eastAsia="宋体" w:cs="Times New Roman"/>
          <w:sz w:val="24"/>
          <w:szCs w:val="24"/>
        </w:rPr>
      </w:pPr>
      <w:r>
        <w:rPr>
          <w:rFonts w:ascii="Times New Roman" w:hAnsi="Times New Roman" w:eastAsia="宋体" w:cs="Times New Roman"/>
          <w:sz w:val="24"/>
          <w:szCs w:val="24"/>
        </w:rPr>
        <w:t>第三，如何让评审快速理解项目价值。项目通过作品导览页、标准演示路径、核心指标卡片、3D 数模页面和成果中心，把技术逻辑、教学逻辑和展示逻辑合并表达。</w:t>
      </w:r>
    </w:p>
    <w:p w14:paraId="19F88665">
      <w:pPr>
        <w:pStyle w:val="3"/>
        <w:widowControl/>
        <w:numPr>
          <w:ilvl w:val="0"/>
          <w:numId w:val="7"/>
        </w:numPr>
        <w:topLinePunct w:val="0"/>
        <w:ind w:left="0" w:leftChars="0" w:firstLine="0" w:firstLineChars="0"/>
        <w:rPr>
          <w:rFonts w:hint="eastAsia" w:ascii="黑体" w:hAnsi="黑体" w:eastAsia="黑体" w:cs="黑体"/>
          <w:b w:val="0"/>
          <w:bdr w:val="none" w:sz="0" w:space="0"/>
        </w:rPr>
      </w:pPr>
      <w:r>
        <w:t>应用成效、推广价值与后续计划</w:t>
      </w:r>
    </w:p>
    <w:p w14:paraId="59998526">
      <w:pPr>
        <w:pStyle w:val="4"/>
        <w:widowControl/>
        <w:numPr>
          <w:ilvl w:val="0"/>
          <w:numId w:val="15"/>
        </w:numPr>
        <w:ind w:left="0" w:leftChars="0" w:firstLine="0" w:firstLineChars="0"/>
        <w:rPr>
          <w:rFonts w:hint="eastAsia" w:ascii="黑体" w:hAnsi="黑体" w:eastAsia="黑体" w:cs="黑体"/>
          <w:b w:val="0"/>
          <w:bdr w:val="none" w:sz="0" w:space="0"/>
        </w:rPr>
      </w:pPr>
      <w:r>
        <w:t>应用成效</w:t>
      </w:r>
    </w:p>
    <w:p w14:paraId="27E093E8">
      <w:pPr>
        <w:pStyle w:val="19"/>
        <w:widowControl/>
        <w:rPr>
          <w:rFonts w:ascii="Times New Roman" w:hAnsi="Times New Roman" w:eastAsia="宋体" w:cs="Times New Roman"/>
          <w:sz w:val="24"/>
          <w:szCs w:val="24"/>
        </w:rPr>
      </w:pPr>
      <w:r>
        <w:rPr>
          <w:rFonts w:ascii="Times New Roman" w:hAnsi="Times New Roman" w:eastAsia="宋体" w:cs="Times New Roman"/>
          <w:sz w:val="24"/>
          <w:szCs w:val="24"/>
        </w:rPr>
        <w:t>平台支撑《智能交通系统》课程第 6 章“交通控制与诱导”，并可拓展至《交通管理与控制》《交通工程学》《交通安全工程》等课程。当前样例班级为交通运输 2301，共 48 人，已完成任务 39 人，平均成绩 84.6 分，待复盘报告 9 份。</w:t>
      </w:r>
    </w:p>
    <w:p w14:paraId="651BC0D1">
      <w:pPr>
        <w:pStyle w:val="19"/>
        <w:widowControl/>
        <w:rPr>
          <w:rFonts w:ascii="Times New Roman" w:hAnsi="Times New Roman" w:eastAsia="宋体" w:cs="Times New Roman"/>
          <w:sz w:val="24"/>
          <w:szCs w:val="24"/>
        </w:rPr>
      </w:pPr>
      <w:r>
        <w:rPr>
          <w:rFonts w:ascii="Times New Roman" w:hAnsi="Times New Roman" w:eastAsia="宋体" w:cs="Times New Roman"/>
          <w:sz w:val="24"/>
          <w:szCs w:val="24"/>
        </w:rPr>
        <w:t>样例学生综合得分 86.5 分，等级优秀。仿真结果显示，平均延误由 64 s/veh 降至 46 s/veh，排队长度由 164 m 降至 96 m，通行效率由 61% 提升至 74%，平均车速由 31.8 km/h 提升至 39.6 km/h。该结果用于说明方案比较与教学评价流程，不直接等同于真实道路运行效果。</w:t>
      </w:r>
    </w:p>
    <w:p w14:paraId="1A4D33AD">
      <w:pPr>
        <w:pStyle w:val="4"/>
        <w:widowControl/>
        <w:numPr>
          <w:ilvl w:val="0"/>
          <w:numId w:val="15"/>
        </w:numPr>
        <w:ind w:left="0" w:leftChars="0" w:firstLine="0" w:firstLineChars="0"/>
        <w:rPr>
          <w:rFonts w:hint="eastAsia" w:ascii="黑体" w:hAnsi="黑体" w:eastAsia="黑体" w:cs="黑体"/>
          <w:b w:val="0"/>
          <w:bdr w:val="none" w:sz="0" w:space="0"/>
        </w:rPr>
      </w:pPr>
      <w:r>
        <w:t>推广价值</w:t>
      </w:r>
    </w:p>
    <w:tbl>
      <w:tblPr>
        <w:tblStyle w:val="3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3"/>
        <w:gridCol w:w="9081"/>
      </w:tblGrid>
      <w:tr w14:paraId="01D6FC69">
        <w:trPr>
          <w:trHeight w:val="0" w:hRule="atLeast"/>
          <w:tblHeader/>
          <w:jc w:val="center"/>
        </w:trPr>
        <w:tc>
          <w:tcPr>
            <w:tcW w:w="589" w:type="pct"/>
            <w:shd w:val="clear" w:color="auto" w:fill="0B4F80"/>
            <w:vAlign w:val="center"/>
          </w:tcPr>
          <w:p w14:paraId="1B26D78F">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b/>
                <w:sz w:val="19"/>
              </w:rPr>
            </w:pPr>
            <w:r>
              <w:rPr>
                <w:rFonts w:ascii="Noto Sans CJK SC" w:hAnsi="Noto Sans CJK SC" w:eastAsia="Noto Sans CJK SC"/>
                <w:b/>
                <w:color w:val="FFFFFF"/>
                <w:sz w:val="19"/>
              </w:rPr>
              <w:t>推广方向</w:t>
            </w:r>
          </w:p>
        </w:tc>
        <w:tc>
          <w:tcPr>
            <w:tcW w:w="4410" w:type="pct"/>
            <w:shd w:val="clear" w:color="auto" w:fill="0B4F80"/>
            <w:vAlign w:val="center"/>
          </w:tcPr>
          <w:p w14:paraId="664A93E7">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b/>
                <w:sz w:val="19"/>
              </w:rPr>
            </w:pPr>
            <w:r>
              <w:rPr>
                <w:rFonts w:ascii="Noto Sans CJK SC" w:hAnsi="Noto Sans CJK SC" w:eastAsia="Noto Sans CJK SC"/>
                <w:b/>
                <w:color w:val="FFFFFF"/>
                <w:sz w:val="19"/>
              </w:rPr>
              <w:t>价值说明</w:t>
            </w:r>
          </w:p>
        </w:tc>
      </w:tr>
      <w:tr w14:paraId="70DAA98B">
        <w:trPr>
          <w:trHeight w:val="0" w:hRule="atLeast"/>
          <w:jc w:val="center"/>
        </w:trPr>
        <w:tc>
          <w:tcPr>
            <w:tcW w:w="589" w:type="pct"/>
            <w:vAlign w:val="center"/>
          </w:tcPr>
          <w:p w14:paraId="4A599955">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课程推广</w:t>
            </w:r>
          </w:p>
        </w:tc>
        <w:tc>
          <w:tcPr>
            <w:tcW w:w="4410" w:type="pct"/>
            <w:vAlign w:val="center"/>
          </w:tcPr>
          <w:p w14:paraId="4FED54EC">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可作为交通运输类专业智能交通、交通控制、交通工程和交通安全课程的综合实训平台。</w:t>
            </w:r>
          </w:p>
        </w:tc>
      </w:tr>
      <w:tr w14:paraId="1ACBAC7F">
        <w:trPr>
          <w:trHeight w:val="0" w:hRule="atLeast"/>
          <w:jc w:val="center"/>
        </w:trPr>
        <w:tc>
          <w:tcPr>
            <w:tcW w:w="589" w:type="pct"/>
            <w:vAlign w:val="center"/>
          </w:tcPr>
          <w:p w14:paraId="18AEFDA5">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竞赛展示</w:t>
            </w:r>
          </w:p>
        </w:tc>
        <w:tc>
          <w:tcPr>
            <w:tcW w:w="4410" w:type="pct"/>
            <w:vAlign w:val="center"/>
          </w:tcPr>
          <w:p w14:paraId="64385D22">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可形成系统链接、操作手册、项目报告、答辩 PPT、演示视频和实训报告等完整材料包。</w:t>
            </w:r>
          </w:p>
        </w:tc>
      </w:tr>
      <w:tr w14:paraId="1B337800">
        <w:trPr>
          <w:trHeight w:val="0" w:hRule="atLeast"/>
          <w:jc w:val="center"/>
        </w:trPr>
        <w:tc>
          <w:tcPr>
            <w:tcW w:w="589" w:type="pct"/>
            <w:vAlign w:val="center"/>
          </w:tcPr>
          <w:p w14:paraId="67130F1F">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科研支撑</w:t>
            </w:r>
          </w:p>
        </w:tc>
        <w:tc>
          <w:tcPr>
            <w:tcW w:w="4410" w:type="pct"/>
            <w:vAlign w:val="center"/>
          </w:tcPr>
          <w:p w14:paraId="4F2E7132">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可作为智慧交通态势感知、数字孪生教学、交通管控仿真和教学评价研究的原型平台。</w:t>
            </w:r>
          </w:p>
        </w:tc>
      </w:tr>
      <w:tr w14:paraId="3A017061">
        <w:trPr>
          <w:trHeight w:val="0" w:hRule="atLeast"/>
          <w:jc w:val="center"/>
        </w:trPr>
        <w:tc>
          <w:tcPr>
            <w:tcW w:w="589" w:type="pct"/>
            <w:vAlign w:val="center"/>
          </w:tcPr>
          <w:p w14:paraId="53E1D68A">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color w:val="0B4F80"/>
                <w:sz w:val="19"/>
              </w:rPr>
            </w:pPr>
            <w:r>
              <w:rPr>
                <w:rFonts w:ascii="Noto Sans CJK SC" w:hAnsi="Noto Sans CJK SC" w:eastAsia="Noto Sans CJK SC"/>
                <w:b/>
                <w:color w:val="0B4F80"/>
                <w:sz w:val="19"/>
              </w:rPr>
              <w:t>校企合作</w:t>
            </w:r>
          </w:p>
        </w:tc>
        <w:tc>
          <w:tcPr>
            <w:tcW w:w="4410" w:type="pct"/>
            <w:vAlign w:val="center"/>
          </w:tcPr>
          <w:p w14:paraId="26D0DC70">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后续可对接真实交通数据接口、视频检测数据、信号控制系统和仿真软件，提升平台真实性。</w:t>
            </w:r>
          </w:p>
        </w:tc>
      </w:tr>
    </w:tbl>
    <w:p w14:paraId="7E79D6E8">
      <w:pPr>
        <w:pStyle w:val="4"/>
        <w:widowControl/>
        <w:numPr>
          <w:ilvl w:val="0"/>
          <w:numId w:val="15"/>
        </w:numPr>
        <w:ind w:left="0" w:leftChars="0" w:firstLine="0" w:firstLineChars="0"/>
        <w:rPr>
          <w:rFonts w:hint="eastAsia" w:ascii="黑体" w:hAnsi="黑体" w:eastAsia="黑体" w:cs="黑体"/>
          <w:b w:val="0"/>
          <w:bdr w:val="none" w:sz="0" w:space="0"/>
        </w:rPr>
      </w:pPr>
      <w:r>
        <w:t>后续建设计划</w:t>
      </w:r>
    </w:p>
    <w:tbl>
      <w:tblPr>
        <w:tblStyle w:val="3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3"/>
        <w:gridCol w:w="9081"/>
      </w:tblGrid>
      <w:tr w14:paraId="0FA75034">
        <w:trPr>
          <w:trHeight w:val="0" w:hRule="atLeast"/>
          <w:tblHeader/>
          <w:jc w:val="center"/>
        </w:trPr>
        <w:tc>
          <w:tcPr>
            <w:tcW w:w="589" w:type="pct"/>
            <w:shd w:val="clear" w:color="auto" w:fill="0B4F80"/>
            <w:vAlign w:val="center"/>
          </w:tcPr>
          <w:p w14:paraId="74A8DC67">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b/>
                <w:sz w:val="19"/>
              </w:rPr>
            </w:pPr>
            <w:r>
              <w:rPr>
                <w:rFonts w:ascii="Noto Sans CJK SC" w:hAnsi="Noto Sans CJK SC" w:eastAsia="Noto Sans CJK SC"/>
                <w:b/>
                <w:color w:val="FFFFFF"/>
                <w:sz w:val="19"/>
              </w:rPr>
              <w:t>阶段</w:t>
            </w:r>
          </w:p>
        </w:tc>
        <w:tc>
          <w:tcPr>
            <w:tcW w:w="4410" w:type="pct"/>
            <w:shd w:val="clear" w:color="auto" w:fill="0B4F80"/>
            <w:vAlign w:val="center"/>
          </w:tcPr>
          <w:p w14:paraId="791BAF8C">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b/>
                <w:sz w:val="19"/>
              </w:rPr>
            </w:pPr>
            <w:r>
              <w:rPr>
                <w:rFonts w:ascii="Noto Sans CJK SC" w:hAnsi="Noto Sans CJK SC" w:eastAsia="Noto Sans CJK SC"/>
                <w:b/>
                <w:color w:val="FFFFFF"/>
                <w:sz w:val="19"/>
              </w:rPr>
              <w:t>建设内容</w:t>
            </w:r>
          </w:p>
        </w:tc>
      </w:tr>
      <w:tr w14:paraId="10F6DC1C">
        <w:trPr>
          <w:trHeight w:val="0" w:hRule="atLeast"/>
          <w:jc w:val="center"/>
        </w:trPr>
        <w:tc>
          <w:tcPr>
            <w:tcW w:w="589" w:type="pct"/>
            <w:vAlign w:val="center"/>
          </w:tcPr>
          <w:p w14:paraId="18D1AC0E">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color w:val="0B4F80"/>
                <w:sz w:val="19"/>
              </w:rPr>
              <w:t>近期优化</w:t>
            </w:r>
          </w:p>
        </w:tc>
        <w:tc>
          <w:tcPr>
            <w:tcW w:w="4410" w:type="pct"/>
            <w:vAlign w:val="center"/>
          </w:tcPr>
          <w:p w14:paraId="1551669C">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完善系统介绍页、操作手册、页面截图、答辩脚本、实训报告模板和公网部署。</w:t>
            </w:r>
          </w:p>
        </w:tc>
      </w:tr>
      <w:tr w14:paraId="389F22F6">
        <w:trPr>
          <w:trHeight w:val="0" w:hRule="atLeast"/>
          <w:jc w:val="center"/>
        </w:trPr>
        <w:tc>
          <w:tcPr>
            <w:tcW w:w="589" w:type="pct"/>
            <w:vAlign w:val="center"/>
          </w:tcPr>
          <w:p w14:paraId="0F5EE3A0">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color w:val="0B4F80"/>
                <w:sz w:val="19"/>
              </w:rPr>
              <w:t>中期建设</w:t>
            </w:r>
          </w:p>
        </w:tc>
        <w:tc>
          <w:tcPr>
            <w:tcW w:w="4410" w:type="pct"/>
            <w:vAlign w:val="center"/>
          </w:tcPr>
          <w:p w14:paraId="07985176">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补充更多教学案例，包括节假日拥堵、事故占道、学校周边交通组织、重点区域管控等场景。</w:t>
            </w:r>
          </w:p>
        </w:tc>
      </w:tr>
      <w:tr w14:paraId="3803A5DD">
        <w:trPr>
          <w:trHeight w:val="0" w:hRule="atLeast"/>
          <w:jc w:val="center"/>
        </w:trPr>
        <w:tc>
          <w:tcPr>
            <w:tcW w:w="589" w:type="pct"/>
            <w:vAlign w:val="center"/>
          </w:tcPr>
          <w:p w14:paraId="0E4BAD50">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color w:val="0B4F80"/>
                <w:sz w:val="19"/>
              </w:rPr>
              <w:t>长期拓展</w:t>
            </w:r>
          </w:p>
        </w:tc>
        <w:tc>
          <w:tcPr>
            <w:tcW w:w="4410" w:type="pct"/>
            <w:vAlign w:val="center"/>
          </w:tcPr>
          <w:p w14:paraId="1FD6C0A8">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hAnsi="Noto Sans CJK SC" w:eastAsia="Noto Sans CJK SC"/>
                <w:b w:val="0"/>
                <w:sz w:val="19"/>
              </w:rPr>
            </w:pPr>
            <w:r>
              <w:rPr>
                <w:rFonts w:ascii="Noto Sans CJK SC" w:hAnsi="Noto Sans CJK SC" w:eastAsia="Noto Sans CJK SC"/>
                <w:b w:val="0"/>
                <w:sz w:val="19"/>
              </w:rPr>
              <w:t>接入真实交通数据接口和更精细化仿真模型，形成可持续迭代的智慧交通数字孪生教学平台。</w:t>
            </w:r>
          </w:p>
        </w:tc>
      </w:tr>
    </w:tbl>
    <w:p w14:paraId="026876B5">
      <w:pPr>
        <w:pStyle w:val="3"/>
        <w:widowControl/>
        <w:numPr>
          <w:ilvl w:val="0"/>
          <w:numId w:val="7"/>
        </w:numPr>
        <w:topLinePunct w:val="0"/>
        <w:ind w:left="0" w:leftChars="0" w:firstLine="0" w:firstLineChars="0"/>
        <w:rPr>
          <w:rFonts w:hint="eastAsia" w:ascii="黑体" w:hAnsi="黑体" w:eastAsia="黑体" w:cs="黑体"/>
          <w:b w:val="0"/>
          <w:bdr w:val="none" w:sz="0" w:space="0"/>
        </w:rPr>
      </w:pPr>
      <w:r>
        <w:t>结论</w:t>
      </w:r>
    </w:p>
    <w:p w14:paraId="28FFBF62">
      <w:pPr>
        <w:pStyle w:val="19"/>
        <w:widowControl/>
        <w:rPr>
          <w:rFonts w:ascii="Times New Roman" w:hAnsi="Times New Roman" w:eastAsia="宋体" w:cs="Times New Roman"/>
          <w:sz w:val="24"/>
          <w:szCs w:val="24"/>
        </w:rPr>
      </w:pPr>
      <w:r>
        <w:rPr>
          <w:rFonts w:ascii="Times New Roman" w:hAnsi="Times New Roman" w:eastAsia="宋体" w:cs="Times New Roman"/>
          <w:sz w:val="24"/>
          <w:szCs w:val="24"/>
        </w:rPr>
        <w:t>TrafficInsight 将智慧交通业务流程、数字孪生技术和交通运输专业教学目标结合起来，形成“交通数据感知—路网数模映射—管控方案推演—学习评价反馈—教学成果沉淀”的完整闭环。项目具备清晰的课程依托、完整的功能链路、明确的技术架构和可展示的系统页面。</w:t>
      </w:r>
    </w:p>
    <w:p w14:paraId="5DA0917B">
      <w:pPr>
        <w:pStyle w:val="19"/>
        <w:widowControl/>
        <w:rPr>
          <w:rFonts w:ascii="Times New Roman" w:hAnsi="Times New Roman" w:eastAsia="宋体" w:cs="Times New Roman"/>
          <w:sz w:val="24"/>
          <w:szCs w:val="24"/>
        </w:rPr>
      </w:pPr>
      <w:r>
        <w:rPr>
          <w:rFonts w:ascii="Times New Roman" w:hAnsi="Times New Roman" w:eastAsia="宋体" w:cs="Times New Roman"/>
          <w:sz w:val="24"/>
          <w:szCs w:val="24"/>
        </w:rPr>
        <w:t>从项目建设价值看，平台能够解决传统智慧交通教学中“数据难感知、过程难复现、方案难验证、评价难留痕”的问题；从竞赛展示价值看，平台能够以网页系统、操作手册、项目报告、实训报告和答辩材料形成完整成果包；从后续发展看，项目具有接入真实交通数据、扩展仿真模型和服务专业课程群建设的潜力。</w:t>
      </w:r>
    </w:p>
    <w:p w14:paraId="0708E13C">
      <w:pPr>
        <w:pStyle w:val="31"/>
        <w:widowControl/>
      </w:pPr>
      <w:r>
        <w:t>附录：核心页面与材料清单</w:t>
      </w:r>
    </w:p>
    <w:tbl>
      <w:tblPr>
        <w:tblStyle w:val="3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3"/>
        <w:gridCol w:w="9081"/>
      </w:tblGrid>
      <w:tr w14:paraId="7970E801">
        <w:trPr>
          <w:trHeight w:val="0" w:hRule="atLeast"/>
          <w:tblHeader/>
          <w:jc w:val="center"/>
        </w:trPr>
        <w:tc>
          <w:tcPr>
            <w:tcW w:w="589" w:type="pct"/>
            <w:shd w:val="clear" w:color="auto" w:fill="0B4F80"/>
            <w:vAlign w:val="center"/>
          </w:tcPr>
          <w:p w14:paraId="2D1ABCA9">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b/>
                <w:sz w:val="19"/>
              </w:rPr>
            </w:pPr>
            <w:r>
              <w:rPr>
                <w:rFonts w:ascii="Noto Sans CJK SC" w:hAnsi="Noto Sans CJK SC" w:eastAsia="Noto Sans CJK SC"/>
                <w:b/>
                <w:color w:val="FFFFFF"/>
                <w:sz w:val="19"/>
              </w:rPr>
              <w:t>材料类别</w:t>
            </w:r>
          </w:p>
        </w:tc>
        <w:tc>
          <w:tcPr>
            <w:tcW w:w="4410" w:type="pct"/>
            <w:shd w:val="clear" w:color="auto" w:fill="0B4F80"/>
            <w:vAlign w:val="center"/>
          </w:tcPr>
          <w:p w14:paraId="361BDD7F">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b/>
                <w:sz w:val="19"/>
              </w:rPr>
            </w:pPr>
            <w:r>
              <w:rPr>
                <w:rFonts w:ascii="Noto Sans CJK SC" w:hAnsi="Noto Sans CJK SC" w:eastAsia="Noto Sans CJK SC"/>
                <w:b/>
                <w:color w:val="FFFFFF"/>
                <w:sz w:val="19"/>
              </w:rPr>
              <w:t>内容</w:t>
            </w:r>
          </w:p>
        </w:tc>
      </w:tr>
      <w:tr w14:paraId="40BF1D62">
        <w:trPr>
          <w:trHeight w:val="0" w:hRule="atLeast"/>
          <w:jc w:val="center"/>
        </w:trPr>
        <w:tc>
          <w:tcPr>
            <w:tcW w:w="589" w:type="pct"/>
            <w:vAlign w:val="center"/>
          </w:tcPr>
          <w:p w14:paraId="45A863A0">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color w:val="0B4F80"/>
                <w:sz w:val="19"/>
              </w:rPr>
              <w:t>系统页面</w:t>
            </w:r>
          </w:p>
        </w:tc>
        <w:tc>
          <w:tcPr>
            <w:tcW w:w="4410" w:type="pct"/>
            <w:vAlign w:val="center"/>
          </w:tcPr>
          <w:p w14:paraId="78D8DE08">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val="0"/>
                <w:sz w:val="19"/>
              </w:rPr>
              <w:t>/guide、/dashbo</w:t>
            </w:r>
            <w:bookmarkStart w:id="0" w:name="_GoBack"/>
            <w:bookmarkEnd w:id="0"/>
            <w:r>
              <w:rPr>
                <w:rFonts w:ascii="Noto Sans CJK SC" w:hAnsi="Noto Sans CJK SC" w:eastAsia="Noto Sans CJK SC"/>
                <w:b w:val="0"/>
                <w:sz w:val="19"/>
              </w:rPr>
              <w:t>ard、/data、/3d-model、/teacher、/student、/simulation、/review、/matrix</w:t>
            </w:r>
          </w:p>
        </w:tc>
      </w:tr>
      <w:tr w14:paraId="055D2213">
        <w:trPr>
          <w:trHeight w:val="0" w:hRule="atLeast"/>
          <w:jc w:val="center"/>
        </w:trPr>
        <w:tc>
          <w:tcPr>
            <w:tcW w:w="589" w:type="pct"/>
            <w:vAlign w:val="center"/>
          </w:tcPr>
          <w:p w14:paraId="416E9E45">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color w:val="0B4F80"/>
                <w:sz w:val="19"/>
              </w:rPr>
              <w:t>支撑文档</w:t>
            </w:r>
          </w:p>
        </w:tc>
        <w:tc>
          <w:tcPr>
            <w:tcW w:w="4410" w:type="pct"/>
            <w:vAlign w:val="center"/>
          </w:tcPr>
          <w:p w14:paraId="68A58008">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val="0"/>
                <w:sz w:val="19"/>
              </w:rPr>
              <w:t>项目报告、系统操作手册、任务书、评价体系、实训报告模板、答辩文稿</w:t>
            </w:r>
          </w:p>
        </w:tc>
      </w:tr>
      <w:tr w14:paraId="12C2C077">
        <w:trPr>
          <w:trHeight w:val="0" w:hRule="atLeast"/>
          <w:jc w:val="center"/>
        </w:trPr>
        <w:tc>
          <w:tcPr>
            <w:tcW w:w="589" w:type="pct"/>
            <w:vAlign w:val="center"/>
          </w:tcPr>
          <w:p w14:paraId="73692FDD">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color w:val="0B4F80"/>
                <w:sz w:val="19"/>
              </w:rPr>
              <w:t>展示材料</w:t>
            </w:r>
          </w:p>
        </w:tc>
        <w:tc>
          <w:tcPr>
            <w:tcW w:w="4410" w:type="pct"/>
            <w:vAlign w:val="center"/>
          </w:tcPr>
          <w:p w14:paraId="1A9F1E7B">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val="0"/>
                <w:sz w:val="19"/>
              </w:rPr>
              <w:t>网页链接、离线演示包、演示视频、PPT、系统截图、答辩问答</w:t>
            </w:r>
          </w:p>
        </w:tc>
      </w:tr>
      <w:tr w14:paraId="0F98B605">
        <w:trPr>
          <w:trHeight w:val="0" w:hRule="atLeast"/>
          <w:jc w:val="center"/>
        </w:trPr>
        <w:tc>
          <w:tcPr>
            <w:tcW w:w="589" w:type="pct"/>
            <w:vAlign w:val="center"/>
          </w:tcPr>
          <w:p w14:paraId="0E84F7F4">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color w:val="0B4F80"/>
                <w:sz w:val="19"/>
              </w:rPr>
              <w:t>后续材料</w:t>
            </w:r>
          </w:p>
        </w:tc>
        <w:tc>
          <w:tcPr>
            <w:tcW w:w="4410" w:type="pct"/>
            <w:vAlign w:val="center"/>
          </w:tcPr>
          <w:p w14:paraId="7E6C5DFE">
            <w:pPr>
              <w:pageBreakBefore w:val="0"/>
              <w:widowControl/>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ascii="Noto Sans CJK SC" w:eastAsia="Noto Sans CJK SC"/>
                <w:sz w:val="19"/>
              </w:rPr>
            </w:pPr>
            <w:r>
              <w:rPr>
                <w:rFonts w:ascii="Noto Sans CJK SC" w:hAnsi="Noto Sans CJK SC" w:eastAsia="Noto Sans CJK SC"/>
                <w:b w:val="0"/>
                <w:sz w:val="19"/>
              </w:rPr>
              <w:t>真实数据接入说明、更多案例库、课程应用记录、学生成果归档、版本迭代记录</w:t>
            </w:r>
          </w:p>
        </w:tc>
      </w:tr>
    </w:tbl>
    <w:p w14:paraId="2596AB37">
      <w:pPr>
        <w:pageBreakBefore w:val="0"/>
        <w:widowControl/>
        <w:kinsoku/>
        <w:wordWrap/>
        <w:overflowPunct/>
        <w:topLinePunct w:val="0"/>
        <w:autoSpaceDE/>
        <w:autoSpaceDN/>
        <w:bidi w:val="0"/>
        <w:adjustRightInd/>
        <w:snapToGrid/>
        <w:ind w:firstLine="420" w:firstLineChars="200"/>
        <w:jc w:val="both"/>
        <w:textAlignment w:val="auto"/>
      </w:pPr>
    </w:p>
    <w:sectPr>
      <w:headerReference r:id="rId5" w:type="default"/>
      <w:footerReference r:id="rId6" w:type="default"/>
      <w:pgSz w:w="12240" w:h="15840"/>
      <w:pgMar w:top="936" w:right="1080" w:bottom="936" w:left="108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auto"/>
    <w:pitch w:val="default"/>
    <w:sig w:usb0="00000000" w:usb1="00000000" w:usb2="00000000" w:usb3="00000000" w:csb0="0000019F" w:csb1="00000000"/>
  </w:font>
  <w:font w:name="ＭＳ 明朝">
    <w:altName w:val="Hiragino Sans"/>
    <w:panose1 w:val="00000000000000000000"/>
    <w:charset w:val="80"/>
    <w:family w:val="roman"/>
    <w:pitch w:val="default"/>
    <w:sig w:usb0="00000000" w:usb1="00000000" w:usb2="00000010" w:usb3="00000000" w:csb0="00020000" w:csb1="00000000"/>
  </w:font>
  <w:font w:name="ＭＳ 明朝">
    <w:altName w:val="Hiragino Sans"/>
    <w:panose1 w:val="00000000000000000000"/>
    <w:charset w:val="86"/>
    <w:family w:val="auto"/>
    <w:pitch w:val="default"/>
    <w:sig w:usb0="00000000" w:usb1="00000000" w:usb2="00000000" w:usb3="00000000" w:csb0="00000000" w:csb1="00000000"/>
  </w:font>
  <w:font w:name="Noto Sans CJK SC">
    <w:altName w:val="苹方-简"/>
    <w:panose1 w:val="00000000000000000000"/>
    <w:charset w:val="00"/>
    <w:family w:val="auto"/>
    <w:pitch w:val="default"/>
    <w:sig w:usb0="00000000" w:usb1="00000000" w:usb2="00000000" w:usb3="00000000" w:csb0="00000000" w:csb1="00000000"/>
  </w:font>
  <w:font w:name="ＭＳ ゴシック">
    <w:altName w:val="Hiragino Sans"/>
    <w:panose1 w:val="00000000000000000000"/>
    <w:charset w:val="80"/>
    <w:family w:val="modern"/>
    <w:pitch w:val="default"/>
    <w:sig w:usb0="00000000" w:usb1="00000000" w:usb2="00000010" w:usb3="00000000" w:csb0="00020000" w:csb1="00000000"/>
  </w:font>
  <w:font w:name="Courier">
    <w:altName w:val="苹方-简"/>
    <w:panose1 w:val="02000500000000000000"/>
    <w:charset w:val="00"/>
    <w:family w:val="auto"/>
    <w:pitch w:val="default"/>
    <w:sig w:usb0="00000000" w:usb1="00000000" w:usb2="00000000" w:usb3="00000000" w:csb0="00000001" w:csb1="00000000"/>
  </w:font>
  <w:font w:name="ＭＳ 明朝">
    <w:altName w:val="Hiragino Sans"/>
    <w:panose1 w:val="00000000000000000000"/>
    <w:charset w:val="00"/>
    <w:family w:val="auto"/>
    <w:pitch w:val="default"/>
    <w:sig w:usb0="00000000" w:usb1="00000000" w:usb2="00000000" w:usb3="00000000" w:csb0="00000000" w:csb1="00000000"/>
  </w:font>
  <w:font w:name="Hiragino Sans">
    <w:panose1 w:val="020B0300000000000000"/>
    <w:charset w:val="80"/>
    <w:family w:val="auto"/>
    <w:pitch w:val="default"/>
    <w:sig w:usb0="E00002FF" w:usb1="7AE7FFFF" w:usb2="00000012" w:usb3="00000000" w:csb0="0002000D" w:csb1="00000000"/>
  </w:font>
  <w:font w:name="苹方-简">
    <w:panose1 w:val="020B0400000000000000"/>
    <w:charset w:val="86"/>
    <w:family w:val="auto"/>
    <w:pitch w:val="default"/>
    <w:sig w:usb0="A00002FF" w:usb1="7ACFFDFB" w:usb2="00000017" w:usb3="00000000" w:csb0="00040001" w:csb1="00000000"/>
  </w:font>
  <w:font w:name="ＭＳ ゴシック">
    <w:altName w:val="苹方-简"/>
    <w:panose1 w:val="00000000000000000000"/>
    <w:charset w:val="00"/>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Calibri Light">
    <w:altName w:val="Helvetica Neue"/>
    <w:panose1 w:val="00000000000000000000"/>
    <w:charset w:val="00"/>
    <w:family w:val="auto"/>
    <w:pitch w:val="default"/>
    <w:sig w:usb0="00000000" w:usb1="00000000" w:usb2="00000000" w:usb3="00000000" w:csb0="00000000" w:csb1="00000000"/>
  </w:font>
  <w:font w:name="黑体">
    <w:altName w:val="汉仪中黑KW"/>
    <w:panose1 w:val="00000000000000000000"/>
    <w:charset w:val="00"/>
    <w:family w:val="auto"/>
    <w:pitch w:val="default"/>
    <w:sig w:usb0="00000000" w:usb1="00000000" w:usb2="00000000" w:usb3="00000000" w:csb0="00000000" w:csb1="00000000"/>
  </w:font>
  <w:font w:name="PingFang SC">
    <w:panose1 w:val="020B0400000000000000"/>
    <w:charset w:val="86"/>
    <w:family w:val="auto"/>
    <w:pitch w:val="default"/>
    <w:sig w:usb0="A00002FF" w:usb1="7ACFFDFB" w:usb2="00000017" w:usb3="00000000" w:csb0="00040001" w:csb1="00000000"/>
  </w:font>
  <w:font w:name="方正FW筑紫A老明朝 简 M">
    <w:panose1 w:val="02010600010101010101"/>
    <w:charset w:val="86"/>
    <w:family w:val="auto"/>
    <w:pitch w:val="default"/>
    <w:sig w:usb0="00000001" w:usb1="080E0000" w:usb2="00000000" w:usb3="00000000" w:csb0="00040000" w:csb1="00000000"/>
  </w:font>
  <w:font w:name="Radam">
    <w:panose1 w:val="00000500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D229E">
    <w:pPr>
      <w:pStyle w:val="2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B2A97">
    <w:pPr>
      <w:pStyle w:val="25"/>
      <w:jc w:val="center"/>
    </w:pPr>
    <w:r>
      <w:rPr>
        <w:sz w:val="18"/>
      </w:rPr>
      <w:t>TrafficInsight 智慧交通数字孪生教学平台｜项目报告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FE56D2"/>
    <w:multiLevelType w:val="singleLevel"/>
    <w:tmpl w:val="9DFE56D2"/>
    <w:lvl w:ilvl="0" w:tentative="0">
      <w:start w:val="1"/>
      <w:numFmt w:val="decimal"/>
      <w:suff w:val="space"/>
      <w:lvlText w:val="8.%1"/>
      <w:lvlJc w:val="left"/>
      <w:pPr>
        <w:ind w:left="0" w:firstLine="0"/>
      </w:pPr>
      <w:rPr>
        <w:rFonts w:hint="default"/>
      </w:rPr>
    </w:lvl>
  </w:abstractNum>
  <w:abstractNum w:abstractNumId="1">
    <w:nsid w:val="AE706A0A"/>
    <w:multiLevelType w:val="singleLevel"/>
    <w:tmpl w:val="AE706A0A"/>
    <w:lvl w:ilvl="0" w:tentative="0">
      <w:start w:val="1"/>
      <w:numFmt w:val="decimal"/>
      <w:suff w:val="space"/>
      <w:lvlText w:val="2.%1"/>
      <w:lvlJc w:val="left"/>
      <w:pPr>
        <w:ind w:left="0" w:firstLine="0"/>
      </w:pPr>
      <w:rPr>
        <w:rFonts w:hint="default"/>
      </w:rPr>
    </w:lvl>
  </w:abstractNum>
  <w:abstractNum w:abstractNumId="2">
    <w:nsid w:val="DCEE66B3"/>
    <w:multiLevelType w:val="singleLevel"/>
    <w:tmpl w:val="DCEE66B3"/>
    <w:lvl w:ilvl="0" w:tentative="0">
      <w:start w:val="1"/>
      <w:numFmt w:val="decimal"/>
      <w:suff w:val="space"/>
      <w:lvlText w:val="11.%1"/>
      <w:lvlJc w:val="left"/>
      <w:pPr>
        <w:ind w:left="0" w:firstLine="0"/>
      </w:pPr>
      <w:rPr>
        <w:rFonts w:hint="default"/>
      </w:rPr>
    </w:lvl>
  </w:abstractNum>
  <w:abstractNum w:abstractNumId="3">
    <w:nsid w:val="EE8F4DA6"/>
    <w:multiLevelType w:val="singleLevel"/>
    <w:tmpl w:val="EE8F4DA6"/>
    <w:lvl w:ilvl="0" w:tentative="0">
      <w:start w:val="1"/>
      <w:numFmt w:val="chineseCounting"/>
      <w:suff w:val="nothing"/>
      <w:lvlText w:val="第%1步，"/>
      <w:lvlJc w:val="left"/>
      <w:pPr>
        <w:ind w:left="0" w:firstLine="480"/>
      </w:pPr>
      <w:rPr>
        <w:rFonts w:hint="eastAsia"/>
      </w:rPr>
    </w:lvl>
  </w:abstractNum>
  <w:abstractNum w:abstractNumId="4">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5">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6">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7">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8">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10">
    <w:nsid w:val="55FEC539"/>
    <w:multiLevelType w:val="singleLevel"/>
    <w:tmpl w:val="55FEC539"/>
    <w:lvl w:ilvl="0" w:tentative="0">
      <w:start w:val="1"/>
      <w:numFmt w:val="decimal"/>
      <w:suff w:val="space"/>
      <w:lvlText w:val="5.%1"/>
      <w:lvlJc w:val="left"/>
      <w:pPr>
        <w:ind w:left="0" w:firstLine="0"/>
      </w:pPr>
      <w:rPr>
        <w:rFonts w:hint="default"/>
      </w:rPr>
    </w:lvl>
  </w:abstractNum>
  <w:abstractNum w:abstractNumId="11">
    <w:nsid w:val="5F7E3177"/>
    <w:multiLevelType w:val="singleLevel"/>
    <w:tmpl w:val="5F7E3177"/>
    <w:lvl w:ilvl="0" w:tentative="0">
      <w:start w:val="1"/>
      <w:numFmt w:val="chineseCounting"/>
      <w:suff w:val="nothing"/>
      <w:lvlText w:val="%1、"/>
      <w:lvlJc w:val="left"/>
      <w:pPr>
        <w:ind w:left="0" w:firstLine="0"/>
      </w:pPr>
      <w:rPr>
        <w:rFonts w:hint="eastAsia"/>
      </w:rPr>
    </w:lvl>
  </w:abstractNum>
  <w:abstractNum w:abstractNumId="12">
    <w:nsid w:val="62BE00AC"/>
    <w:multiLevelType w:val="singleLevel"/>
    <w:tmpl w:val="62BE00AC"/>
    <w:lvl w:ilvl="0" w:tentative="0">
      <w:start w:val="1"/>
      <w:numFmt w:val="decimal"/>
      <w:suff w:val="space"/>
      <w:lvlText w:val="3.%1"/>
      <w:lvlJc w:val="left"/>
      <w:pPr>
        <w:ind w:left="0" w:firstLine="0"/>
      </w:pPr>
      <w:rPr>
        <w:rFonts w:hint="default"/>
      </w:rPr>
    </w:lvl>
  </w:abstractNum>
  <w:abstractNum w:abstractNumId="13">
    <w:nsid w:val="6BD306FB"/>
    <w:multiLevelType w:val="singleLevel"/>
    <w:tmpl w:val="6BD306FB"/>
    <w:lvl w:ilvl="0" w:tentative="0">
      <w:start w:val="1"/>
      <w:numFmt w:val="decimal"/>
      <w:suff w:val="space"/>
      <w:lvlText w:val="7.%1"/>
      <w:lvlJc w:val="left"/>
      <w:pPr>
        <w:ind w:left="0" w:firstLine="0"/>
      </w:pPr>
      <w:rPr>
        <w:rFonts w:hint="default"/>
      </w:rPr>
    </w:lvl>
  </w:abstractNum>
  <w:abstractNum w:abstractNumId="14">
    <w:nsid w:val="76CC9AFA"/>
    <w:multiLevelType w:val="singleLevel"/>
    <w:tmpl w:val="76CC9AFA"/>
    <w:lvl w:ilvl="0" w:tentative="0">
      <w:start w:val="1"/>
      <w:numFmt w:val="decimal"/>
      <w:suff w:val="space"/>
      <w:lvlText w:val="9.%1"/>
      <w:lvlJc w:val="left"/>
      <w:pPr>
        <w:ind w:left="0" w:firstLine="0"/>
      </w:pPr>
      <w:rPr>
        <w:rFonts w:hint="default"/>
      </w:rPr>
    </w:lvl>
  </w:abstractNum>
  <w:num w:numId="1">
    <w:abstractNumId w:val="5"/>
  </w:num>
  <w:num w:numId="2">
    <w:abstractNumId w:val="8"/>
  </w:num>
  <w:num w:numId="3">
    <w:abstractNumId w:val="9"/>
  </w:num>
  <w:num w:numId="4">
    <w:abstractNumId w:val="6"/>
  </w:num>
  <w:num w:numId="5">
    <w:abstractNumId w:val="4"/>
  </w:num>
  <w:num w:numId="6">
    <w:abstractNumId w:val="7"/>
  </w:num>
  <w:num w:numId="7">
    <w:abstractNumId w:val="11"/>
  </w:num>
  <w:num w:numId="8">
    <w:abstractNumId w:val="1"/>
  </w:num>
  <w:num w:numId="9">
    <w:abstractNumId w:val="12"/>
  </w:num>
  <w:num w:numId="10">
    <w:abstractNumId w:val="10"/>
  </w:num>
  <w:num w:numId="11">
    <w:abstractNumId w:val="3"/>
  </w:num>
  <w:num w:numId="12">
    <w:abstractNumId w:val="13"/>
  </w:num>
  <w:num w:numId="13">
    <w:abstractNumId w:val="0"/>
  </w:num>
  <w:num w:numId="14">
    <w:abstractNumId w:val="1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8"/>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5AD5469D"/>
    <w:rsid w:val="5ADF6C25"/>
    <w:rsid w:val="7ED72A1A"/>
    <w:rsid w:val="7F7A09DB"/>
    <w:rsid w:val="FADF8CBF"/>
    <w:rsid w:val="FCFF8464"/>
    <w:rsid w:val="FF7E41B7"/>
    <w:rsid w:val="FF974D3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Noto Sans CJK SC" w:hAnsi="Noto Sans CJK SC" w:eastAsia="Noto Sans CJK SC" w:cstheme="minorBidi"/>
      <w:sz w:val="21"/>
      <w:szCs w:val="22"/>
      <w:lang w:val="en-US" w:eastAsia="en-US" w:bidi="ar-SA"/>
    </w:rPr>
  </w:style>
  <w:style w:type="paragraph" w:styleId="3">
    <w:name w:val="heading 1"/>
    <w:next w:val="1"/>
    <w:link w:val="138"/>
    <w:qFormat/>
    <w:uiPriority w:val="9"/>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4">
    <w:name w:val="heading 2"/>
    <w:next w:val="1"/>
    <w:unhideWhenUsed/>
    <w:qFormat/>
    <w:uiPriority w:val="9"/>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5">
    <w:name w:val="heading 3"/>
    <w:next w:val="1"/>
    <w:unhideWhenUsed/>
    <w:qFormat/>
    <w:uiPriority w:val="9"/>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6">
    <w:name w:val="heading 4"/>
    <w:next w:val="1"/>
    <w:link w:val="151"/>
    <w:semiHidden/>
    <w:unhideWhenUsed/>
    <w:qFormat/>
    <w:uiPriority w:val="9"/>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7">
    <w:name w:val="heading 5"/>
    <w:next w:val="1"/>
    <w:link w:val="152"/>
    <w:semiHidden/>
    <w:unhideWhenUsed/>
    <w:qFormat/>
    <w:uiPriority w:val="9"/>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8">
    <w:name w:val="heading 6"/>
    <w:next w:val="1"/>
    <w:link w:val="153"/>
    <w:semiHidden/>
    <w:unhideWhenUsed/>
    <w:qFormat/>
    <w:uiPriority w:val="9"/>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9">
    <w:name w:val="heading 7"/>
    <w:next w:val="1"/>
    <w:link w:val="154"/>
    <w:semiHidden/>
    <w:unhideWhenUsed/>
    <w:qFormat/>
    <w:uiPriority w:val="9"/>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10">
    <w:name w:val="heading 8"/>
    <w:next w:val="1"/>
    <w:link w:val="155"/>
    <w:semiHidden/>
    <w:unhideWhenUsed/>
    <w:qFormat/>
    <w:uiPriority w:val="9"/>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1">
    <w:name w:val="heading 9"/>
    <w:next w:val="1"/>
    <w:link w:val="156"/>
    <w:semiHidden/>
    <w:unhideWhenUsed/>
    <w:qFormat/>
    <w:uiPriority w:val="9"/>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139">
    <w:name w:val="Default Paragraph Font"/>
    <w:semiHidden/>
    <w:unhideWhenUsed/>
    <w:qFormat/>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8"/>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874CB"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7"/>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unhideWhenUsed/>
    <w:uiPriority w:val="99"/>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next w:val="1"/>
    <w:qFormat/>
    <w:uiPriority w:val="11"/>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27">
    <w:name w:val="List"/>
    <w:basedOn w:val="1"/>
    <w:unhideWhenUsed/>
    <w:uiPriority w:val="99"/>
    <w:pPr>
      <w:ind w:left="360" w:hanging="360"/>
      <w:contextualSpacing/>
    </w:pPr>
  </w:style>
  <w:style w:type="paragraph" w:styleId="28">
    <w:name w:val="Body Text 2"/>
    <w:basedOn w:val="1"/>
    <w:link w:val="146"/>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next w:val="1"/>
    <w:qFormat/>
    <w:uiPriority w:val="1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2E54A1" w:themeColor="accent1" w:themeShade="BF"/>
    </w:rPr>
    <w:tblPr>
      <w:tblBorders>
        <w:top w:val="single" w:color="4874CB" w:themeColor="accent1" w:sz="8" w:space="0"/>
        <w:bottom w:val="single" w:color="4874CB"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874CB" w:themeColor="accent1" w:sz="8" w:space="0"/>
          <w:left w:val="nil"/>
          <w:bottom w:val="single" w:color="4874CB" w:themeColor="accent1" w:sz="8" w:space="0"/>
          <w:right w:val="nil"/>
          <w:insideH w:val="nil"/>
          <w:insideV w:val="nil"/>
        </w:tcBorders>
      </w:tcPr>
    </w:tblStylePr>
    <w:tblStylePr w:type="lastRow">
      <w:pPr>
        <w:spacing w:before="0" w:after="0" w:line="240" w:lineRule="auto"/>
      </w:pPr>
      <w:rPr>
        <w:b/>
        <w:bCs/>
      </w:rPr>
      <w:tblPr/>
      <w:tcPr>
        <w:tcBorders>
          <w:top w:val="single" w:color="4874CB" w:themeColor="accent1" w:sz="8" w:space="0"/>
          <w:left w:val="nil"/>
          <w:bottom w:val="single" w:color="4874CB"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CF2" w:themeFill="accent1" w:themeFillTint="3F"/>
      </w:tcPr>
    </w:tblStylePr>
    <w:tblStylePr w:type="band1Horz">
      <w:tblPr/>
      <w:tcPr>
        <w:tcBorders>
          <w:left w:val="nil"/>
          <w:right w:val="nil"/>
          <w:insideH w:val="nil"/>
          <w:insideV w:val="nil"/>
        </w:tcBorders>
        <w:shd w:val="clear" w:color="auto" w:fill="D1DCF2" w:themeFill="accent1" w:themeFillTint="3F"/>
      </w:tcPr>
    </w:tblStylePr>
  </w:style>
  <w:style w:type="table" w:styleId="36">
    <w:name w:val="Light Shading Accent 2"/>
    <w:basedOn w:val="32"/>
    <w:uiPriority w:val="60"/>
    <w:pPr>
      <w:spacing w:after="0" w:line="240" w:lineRule="auto"/>
    </w:pPr>
    <w:rPr>
      <w:color w:val="C65F10" w:themeColor="accent2" w:themeShade="BF"/>
    </w:rPr>
    <w:tblPr>
      <w:tblBorders>
        <w:top w:val="single" w:color="EE822F" w:themeColor="accent2" w:sz="8" w:space="0"/>
        <w:bottom w:val="single" w:color="EE822F"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EE822F" w:themeColor="accent2" w:sz="8" w:space="0"/>
          <w:left w:val="nil"/>
          <w:bottom w:val="single" w:color="EE822F" w:themeColor="accent2" w:sz="8" w:space="0"/>
          <w:right w:val="nil"/>
          <w:insideH w:val="nil"/>
          <w:insideV w:val="nil"/>
        </w:tcBorders>
      </w:tcPr>
    </w:tblStylePr>
    <w:tblStylePr w:type="lastRow">
      <w:pPr>
        <w:spacing w:before="0" w:after="0" w:line="240" w:lineRule="auto"/>
      </w:pPr>
      <w:rPr>
        <w:b/>
        <w:bCs/>
      </w:rPr>
      <w:tblPr/>
      <w:tcPr>
        <w:tcBorders>
          <w:top w:val="single" w:color="EE822F" w:themeColor="accent2" w:sz="8" w:space="0"/>
          <w:left w:val="nil"/>
          <w:bottom w:val="single" w:color="EE822F"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0CB" w:themeFill="accent2" w:themeFillTint="3F"/>
      </w:tcPr>
    </w:tblStylePr>
    <w:tblStylePr w:type="band1Horz">
      <w:tblPr/>
      <w:tcPr>
        <w:tcBorders>
          <w:left w:val="nil"/>
          <w:right w:val="nil"/>
          <w:insideH w:val="nil"/>
          <w:insideV w:val="nil"/>
        </w:tcBorders>
        <w:shd w:val="clear" w:color="auto" w:fill="FAE0CB" w:themeFill="accent2" w:themeFillTint="3F"/>
      </w:tcPr>
    </w:tblStylePr>
  </w:style>
  <w:style w:type="table" w:styleId="37">
    <w:name w:val="Light Shading Accent 3"/>
    <w:basedOn w:val="32"/>
    <w:uiPriority w:val="60"/>
    <w:pPr>
      <w:spacing w:after="0" w:line="240" w:lineRule="auto"/>
    </w:pPr>
    <w:rPr>
      <w:color w:val="B68C02" w:themeColor="accent3" w:themeShade="BF"/>
    </w:rPr>
    <w:tblPr>
      <w:tblBorders>
        <w:top w:val="single" w:color="F2BA02" w:themeColor="accent3" w:sz="8" w:space="0"/>
        <w:bottom w:val="single" w:color="F2BA02"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2BA02" w:themeColor="accent3" w:sz="8" w:space="0"/>
          <w:left w:val="nil"/>
          <w:bottom w:val="single" w:color="F2BA02" w:themeColor="accent3" w:sz="8" w:space="0"/>
          <w:right w:val="nil"/>
          <w:insideH w:val="nil"/>
          <w:insideV w:val="nil"/>
        </w:tcBorders>
      </w:tcPr>
    </w:tblStylePr>
    <w:tblStylePr w:type="lastRow">
      <w:pPr>
        <w:spacing w:before="0" w:after="0" w:line="240" w:lineRule="auto"/>
      </w:pPr>
      <w:rPr>
        <w:b/>
        <w:bCs/>
      </w:rPr>
      <w:tblPr/>
      <w:tcPr>
        <w:tcBorders>
          <w:top w:val="single" w:color="F2BA02" w:themeColor="accent3" w:sz="8" w:space="0"/>
          <w:left w:val="nil"/>
          <w:bottom w:val="single" w:color="F2BA02"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FBD" w:themeFill="accent3" w:themeFillTint="3F"/>
      </w:tcPr>
    </w:tblStylePr>
    <w:tblStylePr w:type="band1Horz">
      <w:tblPr/>
      <w:tcPr>
        <w:tcBorders>
          <w:left w:val="nil"/>
          <w:right w:val="nil"/>
          <w:insideH w:val="nil"/>
          <w:insideV w:val="nil"/>
        </w:tcBorders>
        <w:shd w:val="clear" w:color="auto" w:fill="FEEFBD" w:themeFill="accent3" w:themeFillTint="3F"/>
      </w:tcPr>
    </w:tblStylePr>
  </w:style>
  <w:style w:type="table" w:styleId="38">
    <w:name w:val="Light Shading Accent 4"/>
    <w:basedOn w:val="32"/>
    <w:uiPriority w:val="60"/>
    <w:pPr>
      <w:spacing w:after="0" w:line="240" w:lineRule="auto"/>
    </w:pPr>
    <w:rPr>
      <w:color w:val="588E32" w:themeColor="accent4" w:themeShade="BF"/>
    </w:rPr>
    <w:tblPr>
      <w:tblBorders>
        <w:top w:val="single" w:color="75BD42" w:themeColor="accent4" w:sz="8" w:space="0"/>
        <w:bottom w:val="single" w:color="75BD4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75BD42" w:themeColor="accent4" w:sz="8" w:space="0"/>
          <w:left w:val="nil"/>
          <w:bottom w:val="single" w:color="75BD42" w:themeColor="accent4" w:sz="8" w:space="0"/>
          <w:right w:val="nil"/>
          <w:insideH w:val="nil"/>
          <w:insideV w:val="nil"/>
        </w:tcBorders>
      </w:tcPr>
    </w:tblStylePr>
    <w:tblStylePr w:type="lastRow">
      <w:pPr>
        <w:spacing w:before="0" w:after="0" w:line="240" w:lineRule="auto"/>
      </w:pPr>
      <w:rPr>
        <w:b/>
        <w:bCs/>
      </w:rPr>
      <w:tblPr/>
      <w:tcPr>
        <w:tcBorders>
          <w:top w:val="single" w:color="75BD42" w:themeColor="accent4" w:sz="8" w:space="0"/>
          <w:left w:val="nil"/>
          <w:bottom w:val="single" w:color="75BD4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ED0" w:themeFill="accent4" w:themeFillTint="3F"/>
      </w:tcPr>
    </w:tblStylePr>
    <w:tblStylePr w:type="band1Horz">
      <w:tblPr/>
      <w:tcPr>
        <w:tcBorders>
          <w:left w:val="nil"/>
          <w:right w:val="nil"/>
          <w:insideH w:val="nil"/>
          <w:insideV w:val="nil"/>
        </w:tcBorders>
        <w:shd w:val="clear" w:color="auto" w:fill="DCEED0" w:themeFill="accent4" w:themeFillTint="3F"/>
      </w:tcPr>
    </w:tblStylePr>
  </w:style>
  <w:style w:type="table" w:styleId="39">
    <w:name w:val="Light Shading Accent 5"/>
    <w:basedOn w:val="32"/>
    <w:uiPriority w:val="60"/>
    <w:pPr>
      <w:spacing w:after="0" w:line="240" w:lineRule="auto"/>
    </w:pPr>
    <w:rPr>
      <w:color w:val="249087" w:themeColor="accent5" w:themeShade="BF"/>
    </w:rPr>
    <w:tblPr>
      <w:tblBorders>
        <w:top w:val="single" w:color="30C0B4" w:themeColor="accent5" w:sz="8" w:space="0"/>
        <w:bottom w:val="single" w:color="30C0B4"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30C0B4" w:themeColor="accent5" w:sz="8" w:space="0"/>
          <w:left w:val="nil"/>
          <w:bottom w:val="single" w:color="30C0B4" w:themeColor="accent5" w:sz="8" w:space="0"/>
          <w:right w:val="nil"/>
          <w:insideH w:val="nil"/>
          <w:insideV w:val="nil"/>
        </w:tcBorders>
      </w:tcPr>
    </w:tblStylePr>
    <w:tblStylePr w:type="lastRow">
      <w:pPr>
        <w:spacing w:before="0" w:after="0" w:line="240" w:lineRule="auto"/>
      </w:pPr>
      <w:rPr>
        <w:b/>
        <w:bCs/>
      </w:rPr>
      <w:tblPr/>
      <w:tcPr>
        <w:tcBorders>
          <w:top w:val="single" w:color="30C0B4" w:themeColor="accent5" w:sz="8" w:space="0"/>
          <w:left w:val="nil"/>
          <w:bottom w:val="single" w:color="30C0B4"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F1EE" w:themeFill="accent5" w:themeFillTint="3F"/>
      </w:tcPr>
    </w:tblStylePr>
    <w:tblStylePr w:type="band1Horz">
      <w:tblPr/>
      <w:tcPr>
        <w:tcBorders>
          <w:left w:val="nil"/>
          <w:right w:val="nil"/>
          <w:insideH w:val="nil"/>
          <w:insideV w:val="nil"/>
        </w:tcBorders>
        <w:shd w:val="clear" w:color="auto" w:fill="C9F1EE" w:themeFill="accent5" w:themeFillTint="3F"/>
      </w:tcPr>
    </w:tblStylePr>
  </w:style>
  <w:style w:type="table" w:styleId="40">
    <w:name w:val="Light Shading Accent 6"/>
    <w:basedOn w:val="32"/>
    <w:uiPriority w:val="60"/>
    <w:pPr>
      <w:spacing w:after="0" w:line="240" w:lineRule="auto"/>
    </w:pPr>
    <w:rPr>
      <w:color w:val="C81D31" w:themeColor="accent6" w:themeShade="BF"/>
    </w:rPr>
    <w:tblPr>
      <w:tblBorders>
        <w:top w:val="single" w:color="E54C5E" w:themeColor="accent6" w:sz="8" w:space="0"/>
        <w:bottom w:val="single" w:color="E54C5E"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E54C5E" w:themeColor="accent6" w:sz="8" w:space="0"/>
          <w:left w:val="nil"/>
          <w:bottom w:val="single" w:color="E54C5E" w:themeColor="accent6" w:sz="8" w:space="0"/>
          <w:right w:val="nil"/>
          <w:insideH w:val="nil"/>
          <w:insideV w:val="nil"/>
        </w:tcBorders>
      </w:tcPr>
    </w:tblStylePr>
    <w:tblStylePr w:type="lastRow">
      <w:pPr>
        <w:spacing w:before="0" w:after="0" w:line="240" w:lineRule="auto"/>
      </w:pPr>
      <w:rPr>
        <w:b/>
        <w:bCs/>
      </w:rPr>
      <w:tblPr/>
      <w:tcPr>
        <w:tcBorders>
          <w:top w:val="single" w:color="E54C5E" w:themeColor="accent6" w:sz="8" w:space="0"/>
          <w:left w:val="nil"/>
          <w:bottom w:val="single" w:color="E54C5E"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2D7" w:themeFill="accent6" w:themeFillTint="3F"/>
      </w:tcPr>
    </w:tblStylePr>
    <w:tblStylePr w:type="band1Horz">
      <w:tblPr/>
      <w:tcPr>
        <w:tcBorders>
          <w:left w:val="nil"/>
          <w:right w:val="nil"/>
          <w:insideH w:val="nil"/>
          <w:insideV w:val="nil"/>
        </w:tcBorders>
        <w:shd w:val="clear" w:color="auto" w:fill="F8D2D7"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874CB" w:themeColor="accent1" w:sz="8" w:space="0"/>
        <w:left w:val="single" w:color="4874CB" w:themeColor="accent1" w:sz="8" w:space="0"/>
        <w:bottom w:val="single" w:color="4874CB" w:themeColor="accent1" w:sz="8" w:space="0"/>
        <w:right w:val="single" w:color="4874CB"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874CB" w:themeFill="accent1"/>
      </w:tcPr>
    </w:tblStylePr>
    <w:tblStylePr w:type="lastRow">
      <w:pPr>
        <w:spacing w:before="0" w:after="0" w:line="240" w:lineRule="auto"/>
      </w:pPr>
      <w:rPr>
        <w:b/>
        <w:bCs/>
      </w:rPr>
      <w:tblPr/>
      <w:tcPr>
        <w:tcBorders>
          <w:top w:val="double" w:color="4874CB" w:themeColor="accent1" w:sz="6" w:space="0"/>
          <w:left w:val="single" w:color="4874CB" w:themeColor="accent1" w:sz="8" w:space="0"/>
          <w:bottom w:val="single" w:color="4874CB" w:themeColor="accent1" w:sz="8" w:space="0"/>
          <w:right w:val="single" w:color="4874CB" w:themeColor="accent1" w:sz="8" w:space="0"/>
        </w:tcBorders>
      </w:tcPr>
    </w:tblStylePr>
    <w:tblStylePr w:type="firstCol">
      <w:rPr>
        <w:b/>
        <w:bCs/>
      </w:rPr>
    </w:tblStylePr>
    <w:tblStylePr w:type="lastCol">
      <w:rPr>
        <w:b/>
        <w:bCs/>
      </w:rPr>
    </w:tblStylePr>
    <w:tblStylePr w:type="band1Vert">
      <w:tblPr/>
      <w:tcPr>
        <w:tcBorders>
          <w:top w:val="single" w:color="4874CB" w:themeColor="accent1" w:sz="8" w:space="0"/>
          <w:left w:val="single" w:color="4874CB" w:themeColor="accent1" w:sz="8" w:space="0"/>
          <w:bottom w:val="single" w:color="4874CB" w:themeColor="accent1" w:sz="8" w:space="0"/>
          <w:right w:val="single" w:color="4874CB" w:themeColor="accent1" w:sz="8" w:space="0"/>
        </w:tcBorders>
      </w:tcPr>
    </w:tblStylePr>
    <w:tblStylePr w:type="band1Horz">
      <w:tblPr/>
      <w:tcPr>
        <w:tcBorders>
          <w:top w:val="single" w:color="4874CB" w:themeColor="accent1" w:sz="8" w:space="0"/>
          <w:left w:val="single" w:color="4874CB" w:themeColor="accent1" w:sz="8" w:space="0"/>
          <w:bottom w:val="single" w:color="4874CB" w:themeColor="accent1" w:sz="8" w:space="0"/>
          <w:right w:val="single" w:color="4874CB" w:themeColor="accent1" w:sz="8" w:space="0"/>
        </w:tcBorders>
      </w:tcPr>
    </w:tblStylePr>
  </w:style>
  <w:style w:type="table" w:styleId="43">
    <w:name w:val="Light List Accent 2"/>
    <w:basedOn w:val="32"/>
    <w:uiPriority w:val="61"/>
    <w:pPr>
      <w:spacing w:after="0" w:line="240" w:lineRule="auto"/>
    </w:pPr>
    <w:tblPr>
      <w:tblBorders>
        <w:top w:val="single" w:color="EE822F" w:themeColor="accent2" w:sz="8" w:space="0"/>
        <w:left w:val="single" w:color="EE822F" w:themeColor="accent2" w:sz="8" w:space="0"/>
        <w:bottom w:val="single" w:color="EE822F" w:themeColor="accent2" w:sz="8" w:space="0"/>
        <w:right w:val="single" w:color="EE822F"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EE822F" w:themeFill="accent2"/>
      </w:tcPr>
    </w:tblStylePr>
    <w:tblStylePr w:type="lastRow">
      <w:pPr>
        <w:spacing w:before="0" w:after="0" w:line="240" w:lineRule="auto"/>
      </w:pPr>
      <w:rPr>
        <w:b/>
        <w:bCs/>
      </w:rPr>
      <w:tblPr/>
      <w:tcPr>
        <w:tcBorders>
          <w:top w:val="double" w:color="EE822F" w:themeColor="accent2" w:sz="6" w:space="0"/>
          <w:left w:val="single" w:color="EE822F" w:themeColor="accent2" w:sz="8" w:space="0"/>
          <w:bottom w:val="single" w:color="EE822F" w:themeColor="accent2" w:sz="8" w:space="0"/>
          <w:right w:val="single" w:color="EE822F" w:themeColor="accent2" w:sz="8" w:space="0"/>
        </w:tcBorders>
      </w:tcPr>
    </w:tblStylePr>
    <w:tblStylePr w:type="firstCol">
      <w:rPr>
        <w:b/>
        <w:bCs/>
      </w:rPr>
    </w:tblStylePr>
    <w:tblStylePr w:type="lastCol">
      <w:rPr>
        <w:b/>
        <w:bCs/>
      </w:rPr>
    </w:tblStylePr>
    <w:tblStylePr w:type="band1Vert">
      <w:tblPr/>
      <w:tcPr>
        <w:tcBorders>
          <w:top w:val="single" w:color="EE822F" w:themeColor="accent2" w:sz="8" w:space="0"/>
          <w:left w:val="single" w:color="EE822F" w:themeColor="accent2" w:sz="8" w:space="0"/>
          <w:bottom w:val="single" w:color="EE822F" w:themeColor="accent2" w:sz="8" w:space="0"/>
          <w:right w:val="single" w:color="EE822F" w:themeColor="accent2" w:sz="8" w:space="0"/>
        </w:tcBorders>
      </w:tcPr>
    </w:tblStylePr>
    <w:tblStylePr w:type="band1Horz">
      <w:tblPr/>
      <w:tcPr>
        <w:tcBorders>
          <w:top w:val="single" w:color="EE822F" w:themeColor="accent2" w:sz="8" w:space="0"/>
          <w:left w:val="single" w:color="EE822F" w:themeColor="accent2" w:sz="8" w:space="0"/>
          <w:bottom w:val="single" w:color="EE822F" w:themeColor="accent2" w:sz="8" w:space="0"/>
          <w:right w:val="single" w:color="EE822F" w:themeColor="accent2" w:sz="8" w:space="0"/>
        </w:tcBorders>
      </w:tcPr>
    </w:tblStylePr>
  </w:style>
  <w:style w:type="table" w:styleId="44">
    <w:name w:val="Light List Accent 3"/>
    <w:basedOn w:val="32"/>
    <w:uiPriority w:val="61"/>
    <w:pPr>
      <w:spacing w:after="0" w:line="240" w:lineRule="auto"/>
    </w:pPr>
    <w:tblPr>
      <w:tblBorders>
        <w:top w:val="single" w:color="F2BA02" w:themeColor="accent3" w:sz="8" w:space="0"/>
        <w:left w:val="single" w:color="F2BA02" w:themeColor="accent3" w:sz="8" w:space="0"/>
        <w:bottom w:val="single" w:color="F2BA02" w:themeColor="accent3" w:sz="8" w:space="0"/>
        <w:right w:val="single" w:color="F2BA02"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2BA02" w:themeFill="accent3"/>
      </w:tcPr>
    </w:tblStylePr>
    <w:tblStylePr w:type="lastRow">
      <w:pPr>
        <w:spacing w:before="0" w:after="0" w:line="240" w:lineRule="auto"/>
      </w:pPr>
      <w:rPr>
        <w:b/>
        <w:bCs/>
      </w:rPr>
      <w:tblPr/>
      <w:tcPr>
        <w:tcBorders>
          <w:top w:val="double" w:color="F2BA02" w:themeColor="accent3" w:sz="6" w:space="0"/>
          <w:left w:val="single" w:color="F2BA02" w:themeColor="accent3" w:sz="8" w:space="0"/>
          <w:bottom w:val="single" w:color="F2BA02" w:themeColor="accent3" w:sz="8" w:space="0"/>
          <w:right w:val="single" w:color="F2BA02" w:themeColor="accent3" w:sz="8" w:space="0"/>
        </w:tcBorders>
      </w:tcPr>
    </w:tblStylePr>
    <w:tblStylePr w:type="firstCol">
      <w:rPr>
        <w:b/>
        <w:bCs/>
      </w:rPr>
    </w:tblStylePr>
    <w:tblStylePr w:type="lastCol">
      <w:rPr>
        <w:b/>
        <w:bCs/>
      </w:rPr>
    </w:tblStylePr>
    <w:tblStylePr w:type="band1Vert">
      <w:tblPr/>
      <w:tcPr>
        <w:tcBorders>
          <w:top w:val="single" w:color="F2BA02" w:themeColor="accent3" w:sz="8" w:space="0"/>
          <w:left w:val="single" w:color="F2BA02" w:themeColor="accent3" w:sz="8" w:space="0"/>
          <w:bottom w:val="single" w:color="F2BA02" w:themeColor="accent3" w:sz="8" w:space="0"/>
          <w:right w:val="single" w:color="F2BA02" w:themeColor="accent3" w:sz="8" w:space="0"/>
        </w:tcBorders>
      </w:tcPr>
    </w:tblStylePr>
    <w:tblStylePr w:type="band1Horz">
      <w:tblPr/>
      <w:tcPr>
        <w:tcBorders>
          <w:top w:val="single" w:color="F2BA02" w:themeColor="accent3" w:sz="8" w:space="0"/>
          <w:left w:val="single" w:color="F2BA02" w:themeColor="accent3" w:sz="8" w:space="0"/>
          <w:bottom w:val="single" w:color="F2BA02" w:themeColor="accent3" w:sz="8" w:space="0"/>
          <w:right w:val="single" w:color="F2BA02" w:themeColor="accent3" w:sz="8" w:space="0"/>
        </w:tcBorders>
      </w:tcPr>
    </w:tblStylePr>
  </w:style>
  <w:style w:type="table" w:styleId="45">
    <w:name w:val="Light List Accent 4"/>
    <w:basedOn w:val="32"/>
    <w:uiPriority w:val="61"/>
    <w:pPr>
      <w:spacing w:after="0" w:line="240" w:lineRule="auto"/>
    </w:pPr>
    <w:tblPr>
      <w:tblBorders>
        <w:top w:val="single" w:color="75BD42" w:themeColor="accent4" w:sz="8" w:space="0"/>
        <w:left w:val="single" w:color="75BD42" w:themeColor="accent4" w:sz="8" w:space="0"/>
        <w:bottom w:val="single" w:color="75BD42" w:themeColor="accent4" w:sz="8" w:space="0"/>
        <w:right w:val="single" w:color="75BD4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75BD42" w:themeFill="accent4"/>
      </w:tcPr>
    </w:tblStylePr>
    <w:tblStylePr w:type="lastRow">
      <w:pPr>
        <w:spacing w:before="0" w:after="0" w:line="240" w:lineRule="auto"/>
      </w:pPr>
      <w:rPr>
        <w:b/>
        <w:bCs/>
      </w:rPr>
      <w:tblPr/>
      <w:tcPr>
        <w:tcBorders>
          <w:top w:val="double" w:color="75BD42" w:themeColor="accent4" w:sz="6" w:space="0"/>
          <w:left w:val="single" w:color="75BD42" w:themeColor="accent4" w:sz="8" w:space="0"/>
          <w:bottom w:val="single" w:color="75BD42" w:themeColor="accent4" w:sz="8" w:space="0"/>
          <w:right w:val="single" w:color="75BD42" w:themeColor="accent4" w:sz="8" w:space="0"/>
        </w:tcBorders>
      </w:tcPr>
    </w:tblStylePr>
    <w:tblStylePr w:type="firstCol">
      <w:rPr>
        <w:b/>
        <w:bCs/>
      </w:rPr>
    </w:tblStylePr>
    <w:tblStylePr w:type="lastCol">
      <w:rPr>
        <w:b/>
        <w:bCs/>
      </w:rPr>
    </w:tblStylePr>
    <w:tblStylePr w:type="band1Vert">
      <w:tblPr/>
      <w:tcPr>
        <w:tcBorders>
          <w:top w:val="single" w:color="75BD42" w:themeColor="accent4" w:sz="8" w:space="0"/>
          <w:left w:val="single" w:color="75BD42" w:themeColor="accent4" w:sz="8" w:space="0"/>
          <w:bottom w:val="single" w:color="75BD42" w:themeColor="accent4" w:sz="8" w:space="0"/>
          <w:right w:val="single" w:color="75BD42" w:themeColor="accent4" w:sz="8" w:space="0"/>
        </w:tcBorders>
      </w:tcPr>
    </w:tblStylePr>
    <w:tblStylePr w:type="band1Horz">
      <w:tblPr/>
      <w:tcPr>
        <w:tcBorders>
          <w:top w:val="single" w:color="75BD42" w:themeColor="accent4" w:sz="8" w:space="0"/>
          <w:left w:val="single" w:color="75BD42" w:themeColor="accent4" w:sz="8" w:space="0"/>
          <w:bottom w:val="single" w:color="75BD42" w:themeColor="accent4" w:sz="8" w:space="0"/>
          <w:right w:val="single" w:color="75BD42" w:themeColor="accent4" w:sz="8" w:space="0"/>
        </w:tcBorders>
      </w:tcPr>
    </w:tblStylePr>
  </w:style>
  <w:style w:type="table" w:styleId="46">
    <w:name w:val="Light List Accent 5"/>
    <w:basedOn w:val="32"/>
    <w:uiPriority w:val="61"/>
    <w:pPr>
      <w:spacing w:after="0" w:line="240" w:lineRule="auto"/>
    </w:pPr>
    <w:tblPr>
      <w:tblBorders>
        <w:top w:val="single" w:color="30C0B4" w:themeColor="accent5" w:sz="8" w:space="0"/>
        <w:left w:val="single" w:color="30C0B4" w:themeColor="accent5" w:sz="8" w:space="0"/>
        <w:bottom w:val="single" w:color="30C0B4" w:themeColor="accent5" w:sz="8" w:space="0"/>
        <w:right w:val="single" w:color="30C0B4"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30C0B4" w:themeFill="accent5"/>
      </w:tcPr>
    </w:tblStylePr>
    <w:tblStylePr w:type="lastRow">
      <w:pPr>
        <w:spacing w:before="0" w:after="0" w:line="240" w:lineRule="auto"/>
      </w:pPr>
      <w:rPr>
        <w:b/>
        <w:bCs/>
      </w:rPr>
      <w:tblPr/>
      <w:tcPr>
        <w:tcBorders>
          <w:top w:val="double" w:color="30C0B4" w:themeColor="accent5" w:sz="6" w:space="0"/>
          <w:left w:val="single" w:color="30C0B4" w:themeColor="accent5" w:sz="8" w:space="0"/>
          <w:bottom w:val="single" w:color="30C0B4" w:themeColor="accent5" w:sz="8" w:space="0"/>
          <w:right w:val="single" w:color="30C0B4" w:themeColor="accent5" w:sz="8" w:space="0"/>
        </w:tcBorders>
      </w:tcPr>
    </w:tblStylePr>
    <w:tblStylePr w:type="firstCol">
      <w:rPr>
        <w:b/>
        <w:bCs/>
      </w:rPr>
    </w:tblStylePr>
    <w:tblStylePr w:type="lastCol">
      <w:rPr>
        <w:b/>
        <w:bCs/>
      </w:rPr>
    </w:tblStylePr>
    <w:tblStylePr w:type="band1Vert">
      <w:tblPr/>
      <w:tcPr>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tblStylePr>
    <w:tblStylePr w:type="band1Horz">
      <w:tblPr/>
      <w:tcPr>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tblStylePr>
  </w:style>
  <w:style w:type="table" w:styleId="47">
    <w:name w:val="Light List Accent 6"/>
    <w:basedOn w:val="32"/>
    <w:uiPriority w:val="61"/>
    <w:pPr>
      <w:spacing w:after="0" w:line="240" w:lineRule="auto"/>
    </w:pPr>
    <w:tblPr>
      <w:tblBorders>
        <w:top w:val="single" w:color="E54C5E" w:themeColor="accent6" w:sz="8" w:space="0"/>
        <w:left w:val="single" w:color="E54C5E" w:themeColor="accent6" w:sz="8" w:space="0"/>
        <w:bottom w:val="single" w:color="E54C5E" w:themeColor="accent6" w:sz="8" w:space="0"/>
        <w:right w:val="single" w:color="E54C5E"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E54C5E" w:themeFill="accent6"/>
      </w:tcPr>
    </w:tblStylePr>
    <w:tblStylePr w:type="lastRow">
      <w:pPr>
        <w:spacing w:before="0" w:after="0" w:line="240" w:lineRule="auto"/>
      </w:pPr>
      <w:rPr>
        <w:b/>
        <w:bCs/>
      </w:rPr>
      <w:tblPr/>
      <w:tcPr>
        <w:tcBorders>
          <w:top w:val="double" w:color="E54C5E" w:themeColor="accent6" w:sz="6" w:space="0"/>
          <w:left w:val="single" w:color="E54C5E" w:themeColor="accent6" w:sz="8" w:space="0"/>
          <w:bottom w:val="single" w:color="E54C5E" w:themeColor="accent6" w:sz="8" w:space="0"/>
          <w:right w:val="single" w:color="E54C5E" w:themeColor="accent6" w:sz="8" w:space="0"/>
        </w:tcBorders>
      </w:tcPr>
    </w:tblStylePr>
    <w:tblStylePr w:type="firstCol">
      <w:rPr>
        <w:b/>
        <w:bCs/>
      </w:rPr>
    </w:tblStylePr>
    <w:tblStylePr w:type="lastCol">
      <w:rPr>
        <w:b/>
        <w:bCs/>
      </w:rPr>
    </w:tblStylePr>
    <w:tblStylePr w:type="band1Vert">
      <w:tblPr/>
      <w:tcPr>
        <w:tcBorders>
          <w:top w:val="single" w:color="E54C5E" w:themeColor="accent6" w:sz="8" w:space="0"/>
          <w:left w:val="single" w:color="E54C5E" w:themeColor="accent6" w:sz="8" w:space="0"/>
          <w:bottom w:val="single" w:color="E54C5E" w:themeColor="accent6" w:sz="8" w:space="0"/>
          <w:right w:val="single" w:color="E54C5E" w:themeColor="accent6" w:sz="8" w:space="0"/>
        </w:tcBorders>
      </w:tcPr>
    </w:tblStylePr>
    <w:tblStylePr w:type="band1Horz">
      <w:tblPr/>
      <w:tcPr>
        <w:tcBorders>
          <w:top w:val="single" w:color="E54C5E" w:themeColor="accent6" w:sz="8" w:space="0"/>
          <w:left w:val="single" w:color="E54C5E" w:themeColor="accent6" w:sz="8" w:space="0"/>
          <w:bottom w:val="single" w:color="E54C5E" w:themeColor="accent6" w:sz="8" w:space="0"/>
          <w:right w:val="single" w:color="E54C5E"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874CB" w:themeColor="accent1" w:sz="8" w:space="0"/>
        <w:left w:val="single" w:color="4874CB" w:themeColor="accent1" w:sz="8" w:space="0"/>
        <w:bottom w:val="single" w:color="4874CB" w:themeColor="accent1" w:sz="8" w:space="0"/>
        <w:right w:val="single" w:color="4874CB" w:themeColor="accent1" w:sz="8" w:space="0"/>
        <w:insideH w:val="single" w:color="4874CB" w:themeColor="accent1" w:sz="8" w:space="0"/>
        <w:insideV w:val="single" w:color="4874CB"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874CB" w:themeColor="accent1" w:sz="8" w:space="0"/>
          <w:left w:val="single" w:color="4874CB" w:themeColor="accent1" w:sz="8" w:space="0"/>
          <w:bottom w:val="single" w:color="4874CB" w:themeColor="accent1" w:sz="18" w:space="0"/>
          <w:right w:val="single" w:color="4874CB"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874CB" w:themeColor="accent1" w:sz="6" w:space="0"/>
          <w:left w:val="single" w:color="4874CB" w:themeColor="accent1" w:sz="8" w:space="0"/>
          <w:bottom w:val="single" w:color="4874CB" w:themeColor="accent1" w:sz="8" w:space="0"/>
          <w:right w:val="single" w:color="4874CB"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874CB" w:themeColor="accent1" w:sz="8" w:space="0"/>
          <w:left w:val="single" w:color="4874CB" w:themeColor="accent1" w:sz="8" w:space="0"/>
          <w:bottom w:val="single" w:color="4874CB" w:themeColor="accent1" w:sz="8" w:space="0"/>
          <w:right w:val="single" w:color="4874CB" w:themeColor="accent1" w:sz="8" w:space="0"/>
        </w:tcBorders>
      </w:tcPr>
    </w:tblStylePr>
    <w:tblStylePr w:type="band1Vert">
      <w:tblPr/>
      <w:tcPr>
        <w:tcBorders>
          <w:top w:val="single" w:color="4874CB" w:themeColor="accent1" w:sz="8" w:space="0"/>
          <w:left w:val="single" w:color="4874CB" w:themeColor="accent1" w:sz="8" w:space="0"/>
          <w:bottom w:val="single" w:color="4874CB" w:themeColor="accent1" w:sz="8" w:space="0"/>
          <w:right w:val="single" w:color="4874CB" w:themeColor="accent1" w:sz="8" w:space="0"/>
        </w:tcBorders>
        <w:shd w:val="clear" w:color="auto" w:fill="D1DCF2" w:themeFill="accent1" w:themeFillTint="3F"/>
      </w:tcPr>
    </w:tblStylePr>
    <w:tblStylePr w:type="band1Horz">
      <w:tblPr/>
      <w:tcPr>
        <w:tcBorders>
          <w:top w:val="single" w:color="4874CB" w:themeColor="accent1" w:sz="8" w:space="0"/>
          <w:left w:val="single" w:color="4874CB" w:themeColor="accent1" w:sz="8" w:space="0"/>
          <w:bottom w:val="single" w:color="4874CB" w:themeColor="accent1" w:sz="8" w:space="0"/>
          <w:right w:val="single" w:color="4874CB" w:themeColor="accent1" w:sz="8" w:space="0"/>
          <w:insideV w:val="single" w:sz="8" w:space="0"/>
        </w:tcBorders>
        <w:shd w:val="clear" w:color="auto" w:fill="D1DCF2" w:themeFill="accent1" w:themeFillTint="3F"/>
      </w:tcPr>
    </w:tblStylePr>
    <w:tblStylePr w:type="band2Horz">
      <w:tblPr/>
      <w:tcPr>
        <w:tcBorders>
          <w:top w:val="single" w:color="4874CB" w:themeColor="accent1" w:sz="8" w:space="0"/>
          <w:left w:val="single" w:color="4874CB" w:themeColor="accent1" w:sz="8" w:space="0"/>
          <w:bottom w:val="single" w:color="4874CB" w:themeColor="accent1" w:sz="8" w:space="0"/>
          <w:right w:val="single" w:color="4874CB"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EE822F" w:themeColor="accent2" w:sz="8" w:space="0"/>
        <w:left w:val="single" w:color="EE822F" w:themeColor="accent2" w:sz="8" w:space="0"/>
        <w:bottom w:val="single" w:color="EE822F" w:themeColor="accent2" w:sz="8" w:space="0"/>
        <w:right w:val="single" w:color="EE822F" w:themeColor="accent2" w:sz="8" w:space="0"/>
        <w:insideH w:val="single" w:color="EE822F" w:themeColor="accent2" w:sz="8" w:space="0"/>
        <w:insideV w:val="single" w:color="EE822F"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EE822F" w:themeColor="accent2" w:sz="8" w:space="0"/>
          <w:left w:val="single" w:color="EE822F" w:themeColor="accent2" w:sz="8" w:space="0"/>
          <w:bottom w:val="single" w:color="EE822F" w:themeColor="accent2" w:sz="18" w:space="0"/>
          <w:right w:val="single" w:color="EE822F"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E822F" w:themeColor="accent2" w:sz="6" w:space="0"/>
          <w:left w:val="single" w:color="EE822F" w:themeColor="accent2" w:sz="8" w:space="0"/>
          <w:bottom w:val="single" w:color="EE822F" w:themeColor="accent2" w:sz="8" w:space="0"/>
          <w:right w:val="single" w:color="EE822F"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E822F" w:themeColor="accent2" w:sz="8" w:space="0"/>
          <w:left w:val="single" w:color="EE822F" w:themeColor="accent2" w:sz="8" w:space="0"/>
          <w:bottom w:val="single" w:color="EE822F" w:themeColor="accent2" w:sz="8" w:space="0"/>
          <w:right w:val="single" w:color="EE822F" w:themeColor="accent2" w:sz="8" w:space="0"/>
        </w:tcBorders>
      </w:tcPr>
    </w:tblStylePr>
    <w:tblStylePr w:type="band1Vert">
      <w:tblPr/>
      <w:tcPr>
        <w:tcBorders>
          <w:top w:val="single" w:color="EE822F" w:themeColor="accent2" w:sz="8" w:space="0"/>
          <w:left w:val="single" w:color="EE822F" w:themeColor="accent2" w:sz="8" w:space="0"/>
          <w:bottom w:val="single" w:color="EE822F" w:themeColor="accent2" w:sz="8" w:space="0"/>
          <w:right w:val="single" w:color="EE822F" w:themeColor="accent2" w:sz="8" w:space="0"/>
        </w:tcBorders>
        <w:shd w:val="clear" w:color="auto" w:fill="FAE0CB" w:themeFill="accent2" w:themeFillTint="3F"/>
      </w:tcPr>
    </w:tblStylePr>
    <w:tblStylePr w:type="band1Horz">
      <w:tblPr/>
      <w:tcPr>
        <w:tcBorders>
          <w:top w:val="single" w:color="EE822F" w:themeColor="accent2" w:sz="8" w:space="0"/>
          <w:left w:val="single" w:color="EE822F" w:themeColor="accent2" w:sz="8" w:space="0"/>
          <w:bottom w:val="single" w:color="EE822F" w:themeColor="accent2" w:sz="8" w:space="0"/>
          <w:right w:val="single" w:color="EE822F" w:themeColor="accent2" w:sz="8" w:space="0"/>
          <w:insideV w:val="single" w:sz="8" w:space="0"/>
        </w:tcBorders>
        <w:shd w:val="clear" w:color="auto" w:fill="FAE0CB" w:themeFill="accent2" w:themeFillTint="3F"/>
      </w:tcPr>
    </w:tblStylePr>
    <w:tblStylePr w:type="band2Horz">
      <w:tblPr/>
      <w:tcPr>
        <w:tcBorders>
          <w:top w:val="single" w:color="EE822F" w:themeColor="accent2" w:sz="8" w:space="0"/>
          <w:left w:val="single" w:color="EE822F" w:themeColor="accent2" w:sz="8" w:space="0"/>
          <w:bottom w:val="single" w:color="EE822F" w:themeColor="accent2" w:sz="8" w:space="0"/>
          <w:right w:val="single" w:color="EE822F"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F2BA02" w:themeColor="accent3" w:sz="8" w:space="0"/>
        <w:left w:val="single" w:color="F2BA02" w:themeColor="accent3" w:sz="8" w:space="0"/>
        <w:bottom w:val="single" w:color="F2BA02" w:themeColor="accent3" w:sz="8" w:space="0"/>
        <w:right w:val="single" w:color="F2BA02" w:themeColor="accent3" w:sz="8" w:space="0"/>
        <w:insideH w:val="single" w:color="F2BA02" w:themeColor="accent3" w:sz="8" w:space="0"/>
        <w:insideV w:val="single" w:color="F2BA02"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2BA02" w:themeColor="accent3" w:sz="8" w:space="0"/>
          <w:left w:val="single" w:color="F2BA02" w:themeColor="accent3" w:sz="8" w:space="0"/>
          <w:bottom w:val="single" w:color="F2BA02" w:themeColor="accent3" w:sz="18" w:space="0"/>
          <w:right w:val="single" w:color="F2BA02"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2BA02" w:themeColor="accent3" w:sz="6" w:space="0"/>
          <w:left w:val="single" w:color="F2BA02" w:themeColor="accent3" w:sz="8" w:space="0"/>
          <w:bottom w:val="single" w:color="F2BA02" w:themeColor="accent3" w:sz="8" w:space="0"/>
          <w:right w:val="single" w:color="F2BA02"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2BA02" w:themeColor="accent3" w:sz="8" w:space="0"/>
          <w:left w:val="single" w:color="F2BA02" w:themeColor="accent3" w:sz="8" w:space="0"/>
          <w:bottom w:val="single" w:color="F2BA02" w:themeColor="accent3" w:sz="8" w:space="0"/>
          <w:right w:val="single" w:color="F2BA02" w:themeColor="accent3" w:sz="8" w:space="0"/>
        </w:tcBorders>
      </w:tcPr>
    </w:tblStylePr>
    <w:tblStylePr w:type="band1Vert">
      <w:tblPr/>
      <w:tcPr>
        <w:tcBorders>
          <w:top w:val="single" w:color="F2BA02" w:themeColor="accent3" w:sz="8" w:space="0"/>
          <w:left w:val="single" w:color="F2BA02" w:themeColor="accent3" w:sz="8" w:space="0"/>
          <w:bottom w:val="single" w:color="F2BA02" w:themeColor="accent3" w:sz="8" w:space="0"/>
          <w:right w:val="single" w:color="F2BA02" w:themeColor="accent3" w:sz="8" w:space="0"/>
        </w:tcBorders>
        <w:shd w:val="clear" w:color="auto" w:fill="FEEFBD" w:themeFill="accent3" w:themeFillTint="3F"/>
      </w:tcPr>
    </w:tblStylePr>
    <w:tblStylePr w:type="band1Horz">
      <w:tblPr/>
      <w:tcPr>
        <w:tcBorders>
          <w:top w:val="single" w:color="F2BA02" w:themeColor="accent3" w:sz="8" w:space="0"/>
          <w:left w:val="single" w:color="F2BA02" w:themeColor="accent3" w:sz="8" w:space="0"/>
          <w:bottom w:val="single" w:color="F2BA02" w:themeColor="accent3" w:sz="8" w:space="0"/>
          <w:right w:val="single" w:color="F2BA02" w:themeColor="accent3" w:sz="8" w:space="0"/>
          <w:insideV w:val="single" w:sz="8" w:space="0"/>
        </w:tcBorders>
        <w:shd w:val="clear" w:color="auto" w:fill="FEEFBD" w:themeFill="accent3" w:themeFillTint="3F"/>
      </w:tcPr>
    </w:tblStylePr>
    <w:tblStylePr w:type="band2Horz">
      <w:tblPr/>
      <w:tcPr>
        <w:tcBorders>
          <w:top w:val="single" w:color="F2BA02" w:themeColor="accent3" w:sz="8" w:space="0"/>
          <w:left w:val="single" w:color="F2BA02" w:themeColor="accent3" w:sz="8" w:space="0"/>
          <w:bottom w:val="single" w:color="F2BA02" w:themeColor="accent3" w:sz="8" w:space="0"/>
          <w:right w:val="single" w:color="F2BA02"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75BD42" w:themeColor="accent4" w:sz="8" w:space="0"/>
        <w:left w:val="single" w:color="75BD42" w:themeColor="accent4" w:sz="8" w:space="0"/>
        <w:bottom w:val="single" w:color="75BD42" w:themeColor="accent4" w:sz="8" w:space="0"/>
        <w:right w:val="single" w:color="75BD42" w:themeColor="accent4" w:sz="8" w:space="0"/>
        <w:insideH w:val="single" w:color="75BD42" w:themeColor="accent4" w:sz="8" w:space="0"/>
        <w:insideV w:val="single" w:color="75BD4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75BD42" w:themeColor="accent4" w:sz="8" w:space="0"/>
          <w:left w:val="single" w:color="75BD42" w:themeColor="accent4" w:sz="8" w:space="0"/>
          <w:bottom w:val="single" w:color="75BD42" w:themeColor="accent4" w:sz="18" w:space="0"/>
          <w:right w:val="single" w:color="75BD4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5BD42" w:themeColor="accent4" w:sz="6" w:space="0"/>
          <w:left w:val="single" w:color="75BD42" w:themeColor="accent4" w:sz="8" w:space="0"/>
          <w:bottom w:val="single" w:color="75BD42" w:themeColor="accent4" w:sz="8" w:space="0"/>
          <w:right w:val="single" w:color="75BD4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5BD42" w:themeColor="accent4" w:sz="8" w:space="0"/>
          <w:left w:val="single" w:color="75BD42" w:themeColor="accent4" w:sz="8" w:space="0"/>
          <w:bottom w:val="single" w:color="75BD42" w:themeColor="accent4" w:sz="8" w:space="0"/>
          <w:right w:val="single" w:color="75BD42" w:themeColor="accent4" w:sz="8" w:space="0"/>
        </w:tcBorders>
      </w:tcPr>
    </w:tblStylePr>
    <w:tblStylePr w:type="band1Vert">
      <w:tblPr/>
      <w:tcPr>
        <w:tcBorders>
          <w:top w:val="single" w:color="75BD42" w:themeColor="accent4" w:sz="8" w:space="0"/>
          <w:left w:val="single" w:color="75BD42" w:themeColor="accent4" w:sz="8" w:space="0"/>
          <w:bottom w:val="single" w:color="75BD42" w:themeColor="accent4" w:sz="8" w:space="0"/>
          <w:right w:val="single" w:color="75BD42" w:themeColor="accent4" w:sz="8" w:space="0"/>
        </w:tcBorders>
        <w:shd w:val="clear" w:color="auto" w:fill="DCEED0" w:themeFill="accent4" w:themeFillTint="3F"/>
      </w:tcPr>
    </w:tblStylePr>
    <w:tblStylePr w:type="band1Horz">
      <w:tblPr/>
      <w:tcPr>
        <w:tcBorders>
          <w:top w:val="single" w:color="75BD42" w:themeColor="accent4" w:sz="8" w:space="0"/>
          <w:left w:val="single" w:color="75BD42" w:themeColor="accent4" w:sz="8" w:space="0"/>
          <w:bottom w:val="single" w:color="75BD42" w:themeColor="accent4" w:sz="8" w:space="0"/>
          <w:right w:val="single" w:color="75BD42" w:themeColor="accent4" w:sz="8" w:space="0"/>
          <w:insideV w:val="single" w:sz="8" w:space="0"/>
        </w:tcBorders>
        <w:shd w:val="clear" w:color="auto" w:fill="DCEED0" w:themeFill="accent4" w:themeFillTint="3F"/>
      </w:tcPr>
    </w:tblStylePr>
    <w:tblStylePr w:type="band2Horz">
      <w:tblPr/>
      <w:tcPr>
        <w:tcBorders>
          <w:top w:val="single" w:color="75BD42" w:themeColor="accent4" w:sz="8" w:space="0"/>
          <w:left w:val="single" w:color="75BD42" w:themeColor="accent4" w:sz="8" w:space="0"/>
          <w:bottom w:val="single" w:color="75BD42" w:themeColor="accent4" w:sz="8" w:space="0"/>
          <w:right w:val="single" w:color="75BD4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30C0B4" w:themeColor="accent5" w:sz="8" w:space="0"/>
        <w:left w:val="single" w:color="30C0B4" w:themeColor="accent5" w:sz="8" w:space="0"/>
        <w:bottom w:val="single" w:color="30C0B4" w:themeColor="accent5" w:sz="8" w:space="0"/>
        <w:right w:val="single" w:color="30C0B4" w:themeColor="accent5" w:sz="8" w:space="0"/>
        <w:insideH w:val="single" w:color="30C0B4" w:themeColor="accent5" w:sz="8" w:space="0"/>
        <w:insideV w:val="single" w:color="30C0B4"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30C0B4" w:themeColor="accent5" w:sz="8" w:space="0"/>
          <w:left w:val="single" w:color="30C0B4" w:themeColor="accent5" w:sz="8" w:space="0"/>
          <w:bottom w:val="single" w:color="30C0B4" w:themeColor="accent5" w:sz="18" w:space="0"/>
          <w:right w:val="single" w:color="30C0B4"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0C0B4" w:themeColor="accent5" w:sz="6" w:space="0"/>
          <w:left w:val="single" w:color="30C0B4" w:themeColor="accent5" w:sz="8" w:space="0"/>
          <w:bottom w:val="single" w:color="30C0B4" w:themeColor="accent5" w:sz="8" w:space="0"/>
          <w:right w:val="single" w:color="30C0B4"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30C0B4" w:themeColor="accent5" w:sz="8" w:space="0"/>
          <w:left w:val="single" w:color="30C0B4" w:themeColor="accent5" w:sz="8" w:space="0"/>
          <w:bottom w:val="single" w:color="30C0B4" w:themeColor="accent5" w:sz="8" w:space="0"/>
          <w:right w:val="single" w:color="30C0B4" w:themeColor="accent5" w:sz="8" w:space="0"/>
        </w:tcBorders>
      </w:tcPr>
    </w:tblStylePr>
    <w:tblStylePr w:type="band1Vert">
      <w:tblPr/>
      <w:tcPr>
        <w:tcBorders>
          <w:top w:val="single" w:color="30C0B4" w:themeColor="accent5" w:sz="8" w:space="0"/>
          <w:left w:val="single" w:color="30C0B4" w:themeColor="accent5" w:sz="8" w:space="0"/>
          <w:bottom w:val="single" w:color="30C0B4" w:themeColor="accent5" w:sz="8" w:space="0"/>
          <w:right w:val="single" w:color="30C0B4" w:themeColor="accent5" w:sz="8" w:space="0"/>
        </w:tcBorders>
        <w:shd w:val="clear" w:color="auto" w:fill="C9F1EE" w:themeFill="accent5" w:themeFillTint="3F"/>
      </w:tcPr>
    </w:tblStylePr>
    <w:tblStylePr w:type="band1Horz">
      <w:tblPr/>
      <w:tcPr>
        <w:tcBorders>
          <w:top w:val="single" w:color="30C0B4" w:themeColor="accent5" w:sz="8" w:space="0"/>
          <w:left w:val="single" w:color="30C0B4" w:themeColor="accent5" w:sz="8" w:space="0"/>
          <w:bottom w:val="single" w:color="30C0B4" w:themeColor="accent5" w:sz="8" w:space="0"/>
          <w:right w:val="single" w:color="30C0B4" w:themeColor="accent5" w:sz="8" w:space="0"/>
          <w:insideV w:val="single" w:sz="8" w:space="0"/>
        </w:tcBorders>
        <w:shd w:val="clear" w:color="auto" w:fill="C9F1EE" w:themeFill="accent5" w:themeFillTint="3F"/>
      </w:tcPr>
    </w:tblStylePr>
    <w:tblStylePr w:type="band2Horz">
      <w:tblPr/>
      <w:tcPr>
        <w:tcBorders>
          <w:top w:val="single" w:color="30C0B4" w:themeColor="accent5" w:sz="8" w:space="0"/>
          <w:left w:val="single" w:color="30C0B4" w:themeColor="accent5" w:sz="8" w:space="0"/>
          <w:bottom w:val="single" w:color="30C0B4" w:themeColor="accent5" w:sz="8" w:space="0"/>
          <w:right w:val="single" w:color="30C0B4"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E54C5E" w:themeColor="accent6" w:sz="8" w:space="0"/>
        <w:left w:val="single" w:color="E54C5E" w:themeColor="accent6" w:sz="8" w:space="0"/>
        <w:bottom w:val="single" w:color="E54C5E" w:themeColor="accent6" w:sz="8" w:space="0"/>
        <w:right w:val="single" w:color="E54C5E" w:themeColor="accent6" w:sz="8" w:space="0"/>
        <w:insideH w:val="single" w:color="E54C5E" w:themeColor="accent6" w:sz="8" w:space="0"/>
        <w:insideV w:val="single" w:color="E54C5E"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E54C5E" w:themeColor="accent6" w:sz="8" w:space="0"/>
          <w:left w:val="single" w:color="E54C5E" w:themeColor="accent6" w:sz="8" w:space="0"/>
          <w:bottom w:val="single" w:color="E54C5E" w:themeColor="accent6" w:sz="18" w:space="0"/>
          <w:right w:val="single" w:color="E54C5E"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54C5E" w:themeColor="accent6" w:sz="6" w:space="0"/>
          <w:left w:val="single" w:color="E54C5E" w:themeColor="accent6" w:sz="8" w:space="0"/>
          <w:bottom w:val="single" w:color="E54C5E" w:themeColor="accent6" w:sz="8" w:space="0"/>
          <w:right w:val="single" w:color="E54C5E"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54C5E" w:themeColor="accent6" w:sz="8" w:space="0"/>
          <w:left w:val="single" w:color="E54C5E" w:themeColor="accent6" w:sz="8" w:space="0"/>
          <w:bottom w:val="single" w:color="E54C5E" w:themeColor="accent6" w:sz="8" w:space="0"/>
          <w:right w:val="single" w:color="E54C5E" w:themeColor="accent6" w:sz="8" w:space="0"/>
        </w:tcBorders>
      </w:tcPr>
    </w:tblStylePr>
    <w:tblStylePr w:type="band1Vert">
      <w:tblPr/>
      <w:tcPr>
        <w:tcBorders>
          <w:top w:val="single" w:color="E54C5E" w:themeColor="accent6" w:sz="8" w:space="0"/>
          <w:left w:val="single" w:color="E54C5E" w:themeColor="accent6" w:sz="8" w:space="0"/>
          <w:bottom w:val="single" w:color="E54C5E" w:themeColor="accent6" w:sz="8" w:space="0"/>
          <w:right w:val="single" w:color="E54C5E" w:themeColor="accent6" w:sz="8" w:space="0"/>
        </w:tcBorders>
        <w:shd w:val="clear" w:color="auto" w:fill="F8D2D7" w:themeFill="accent6" w:themeFillTint="3F"/>
      </w:tcPr>
    </w:tblStylePr>
    <w:tblStylePr w:type="band1Horz">
      <w:tblPr/>
      <w:tcPr>
        <w:tcBorders>
          <w:top w:val="single" w:color="E54C5E" w:themeColor="accent6" w:sz="8" w:space="0"/>
          <w:left w:val="single" w:color="E54C5E" w:themeColor="accent6" w:sz="8" w:space="0"/>
          <w:bottom w:val="single" w:color="E54C5E" w:themeColor="accent6" w:sz="8" w:space="0"/>
          <w:right w:val="single" w:color="E54C5E" w:themeColor="accent6" w:sz="8" w:space="0"/>
          <w:insideV w:val="single" w:sz="8" w:space="0"/>
        </w:tcBorders>
        <w:shd w:val="clear" w:color="auto" w:fill="F8D2D7" w:themeFill="accent6" w:themeFillTint="3F"/>
      </w:tcPr>
    </w:tblStylePr>
    <w:tblStylePr w:type="band2Horz">
      <w:tblPr/>
      <w:tcPr>
        <w:tcBorders>
          <w:top w:val="single" w:color="E54C5E" w:themeColor="accent6" w:sz="8" w:space="0"/>
          <w:left w:val="single" w:color="E54C5E" w:themeColor="accent6" w:sz="8" w:space="0"/>
          <w:bottom w:val="single" w:color="E54C5E" w:themeColor="accent6" w:sz="8" w:space="0"/>
          <w:right w:val="single" w:color="E54C5E"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596D8" w:themeColor="accent1" w:themeTint="BF" w:sz="8" w:space="0"/>
        <w:left w:val="single" w:color="7596D8" w:themeColor="accent1" w:themeTint="BF" w:sz="8" w:space="0"/>
        <w:bottom w:val="single" w:color="7596D8" w:themeColor="accent1" w:themeTint="BF" w:sz="8" w:space="0"/>
        <w:right w:val="single" w:color="7596D8" w:themeColor="accent1" w:themeTint="BF" w:sz="8" w:space="0"/>
        <w:insideH w:val="single" w:color="7596D8"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596D8" w:themeColor="accent1" w:themeTint="BF" w:sz="8" w:space="0"/>
          <w:left w:val="single" w:color="7596D8" w:themeColor="accent1" w:themeTint="BF" w:sz="8" w:space="0"/>
          <w:bottom w:val="single" w:color="7596D8" w:themeColor="accent1" w:themeTint="BF" w:sz="8" w:space="0"/>
          <w:right w:val="single" w:color="7596D8" w:themeColor="accent1" w:themeTint="BF" w:sz="8" w:space="0"/>
          <w:insideH w:val="nil"/>
          <w:insideV w:val="nil"/>
        </w:tcBorders>
        <w:shd w:val="clear" w:color="auto" w:fill="4874CB" w:themeFill="accent1"/>
      </w:tcPr>
    </w:tblStylePr>
    <w:tblStylePr w:type="lastRow">
      <w:pPr>
        <w:spacing w:before="0" w:after="0" w:line="240" w:lineRule="auto"/>
      </w:pPr>
      <w:rPr>
        <w:b/>
        <w:bCs/>
      </w:rPr>
      <w:tblPr/>
      <w:tcPr>
        <w:tcBorders>
          <w:top w:val="double" w:color="7596D8" w:themeColor="accent1" w:themeTint="BF" w:sz="6" w:space="0"/>
          <w:left w:val="single" w:color="7596D8" w:themeColor="accent1" w:themeTint="BF" w:sz="8" w:space="0"/>
          <w:bottom w:val="single" w:color="7596D8" w:themeColor="accent1" w:themeTint="BF" w:sz="8" w:space="0"/>
          <w:right w:val="single" w:color="7596D8"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1DCF2" w:themeFill="accent1" w:themeFillTint="3F"/>
      </w:tcPr>
    </w:tblStylePr>
    <w:tblStylePr w:type="band1Horz">
      <w:tblPr/>
      <w:tcPr>
        <w:tcBorders>
          <w:insideH w:val="nil"/>
          <w:insideV w:val="nil"/>
        </w:tcBorders>
        <w:shd w:val="clear" w:color="auto" w:fill="D1DCF2"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F2A163" w:themeColor="accent2" w:themeTint="BF" w:sz="8" w:space="0"/>
        <w:left w:val="single" w:color="F2A163" w:themeColor="accent2" w:themeTint="BF" w:sz="8" w:space="0"/>
        <w:bottom w:val="single" w:color="F2A163" w:themeColor="accent2" w:themeTint="BF" w:sz="8" w:space="0"/>
        <w:right w:val="single" w:color="F2A163" w:themeColor="accent2" w:themeTint="BF" w:sz="8" w:space="0"/>
        <w:insideH w:val="single" w:color="F2A163"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2A163" w:themeColor="accent2" w:themeTint="BF" w:sz="8" w:space="0"/>
          <w:left w:val="single" w:color="F2A163" w:themeColor="accent2" w:themeTint="BF" w:sz="8" w:space="0"/>
          <w:bottom w:val="single" w:color="F2A163" w:themeColor="accent2" w:themeTint="BF" w:sz="8" w:space="0"/>
          <w:right w:val="single" w:color="F2A163" w:themeColor="accent2" w:themeTint="BF" w:sz="8" w:space="0"/>
          <w:insideH w:val="nil"/>
          <w:insideV w:val="nil"/>
        </w:tcBorders>
        <w:shd w:val="clear" w:color="auto" w:fill="EE822F" w:themeFill="accent2"/>
      </w:tcPr>
    </w:tblStylePr>
    <w:tblStylePr w:type="lastRow">
      <w:pPr>
        <w:spacing w:before="0" w:after="0" w:line="240" w:lineRule="auto"/>
      </w:pPr>
      <w:rPr>
        <w:b/>
        <w:bCs/>
      </w:rPr>
      <w:tblPr/>
      <w:tcPr>
        <w:tcBorders>
          <w:top w:val="double" w:color="F2A163" w:themeColor="accent2" w:themeTint="BF" w:sz="6" w:space="0"/>
          <w:left w:val="single" w:color="F2A163" w:themeColor="accent2" w:themeTint="BF" w:sz="8" w:space="0"/>
          <w:bottom w:val="single" w:color="F2A163" w:themeColor="accent2" w:themeTint="BF" w:sz="8" w:space="0"/>
          <w:right w:val="single" w:color="F2A163"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E0CB" w:themeFill="accent2" w:themeFillTint="3F"/>
      </w:tcPr>
    </w:tblStylePr>
    <w:tblStylePr w:type="band1Horz">
      <w:tblPr/>
      <w:tcPr>
        <w:tcBorders>
          <w:insideH w:val="nil"/>
          <w:insideV w:val="nil"/>
        </w:tcBorders>
        <w:shd w:val="clear" w:color="auto" w:fill="FAE0CB"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FDCF39" w:themeColor="accent3" w:themeTint="BF" w:sz="8" w:space="0"/>
        <w:left w:val="single" w:color="FDCF39" w:themeColor="accent3" w:themeTint="BF" w:sz="8" w:space="0"/>
        <w:bottom w:val="single" w:color="FDCF39" w:themeColor="accent3" w:themeTint="BF" w:sz="8" w:space="0"/>
        <w:right w:val="single" w:color="FDCF39" w:themeColor="accent3" w:themeTint="BF" w:sz="8" w:space="0"/>
        <w:insideH w:val="single" w:color="FDCF39"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DCF39" w:themeColor="accent3" w:themeTint="BF" w:sz="8" w:space="0"/>
          <w:left w:val="single" w:color="FDCF39" w:themeColor="accent3" w:themeTint="BF" w:sz="8" w:space="0"/>
          <w:bottom w:val="single" w:color="FDCF39" w:themeColor="accent3" w:themeTint="BF" w:sz="8" w:space="0"/>
          <w:right w:val="single" w:color="FDCF39" w:themeColor="accent3" w:themeTint="BF" w:sz="8" w:space="0"/>
          <w:insideH w:val="nil"/>
          <w:insideV w:val="nil"/>
        </w:tcBorders>
        <w:shd w:val="clear" w:color="auto" w:fill="F2BA02" w:themeFill="accent3"/>
      </w:tcPr>
    </w:tblStylePr>
    <w:tblStylePr w:type="lastRow">
      <w:pPr>
        <w:spacing w:before="0" w:after="0" w:line="240" w:lineRule="auto"/>
      </w:pPr>
      <w:rPr>
        <w:b/>
        <w:bCs/>
      </w:rPr>
      <w:tblPr/>
      <w:tcPr>
        <w:tcBorders>
          <w:top w:val="double" w:color="FDCF39" w:themeColor="accent3" w:themeTint="BF" w:sz="6" w:space="0"/>
          <w:left w:val="single" w:color="FDCF39" w:themeColor="accent3" w:themeTint="BF" w:sz="8" w:space="0"/>
          <w:bottom w:val="single" w:color="FDCF39" w:themeColor="accent3" w:themeTint="BF" w:sz="8" w:space="0"/>
          <w:right w:val="single" w:color="FDCF39"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FEEFBD" w:themeFill="accent3" w:themeFillTint="3F"/>
      </w:tcPr>
    </w:tblStylePr>
    <w:tblStylePr w:type="band1Horz">
      <w:tblPr/>
      <w:tcPr>
        <w:tcBorders>
          <w:insideH w:val="nil"/>
          <w:insideV w:val="nil"/>
        </w:tcBorders>
        <w:shd w:val="clear" w:color="auto" w:fill="FEEFBD"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7CD71" w:themeColor="accent4" w:themeTint="BF" w:sz="8" w:space="0"/>
        <w:left w:val="single" w:color="97CD71" w:themeColor="accent4" w:themeTint="BF" w:sz="8" w:space="0"/>
        <w:bottom w:val="single" w:color="97CD71" w:themeColor="accent4" w:themeTint="BF" w:sz="8" w:space="0"/>
        <w:right w:val="single" w:color="97CD71" w:themeColor="accent4" w:themeTint="BF" w:sz="8" w:space="0"/>
        <w:insideH w:val="single" w:color="97CD71"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7CD71" w:themeColor="accent4" w:themeTint="BF" w:sz="8" w:space="0"/>
          <w:left w:val="single" w:color="97CD71" w:themeColor="accent4" w:themeTint="BF" w:sz="8" w:space="0"/>
          <w:bottom w:val="single" w:color="97CD71" w:themeColor="accent4" w:themeTint="BF" w:sz="8" w:space="0"/>
          <w:right w:val="single" w:color="97CD71" w:themeColor="accent4" w:themeTint="BF" w:sz="8" w:space="0"/>
          <w:insideH w:val="nil"/>
          <w:insideV w:val="nil"/>
        </w:tcBorders>
        <w:shd w:val="clear" w:color="auto" w:fill="75BD42" w:themeFill="accent4"/>
      </w:tcPr>
    </w:tblStylePr>
    <w:tblStylePr w:type="lastRow">
      <w:pPr>
        <w:spacing w:before="0" w:after="0" w:line="240" w:lineRule="auto"/>
      </w:pPr>
      <w:rPr>
        <w:b/>
        <w:bCs/>
      </w:rPr>
      <w:tblPr/>
      <w:tcPr>
        <w:tcBorders>
          <w:top w:val="double" w:color="97CD71" w:themeColor="accent4" w:themeTint="BF" w:sz="6" w:space="0"/>
          <w:left w:val="single" w:color="97CD71" w:themeColor="accent4" w:themeTint="BF" w:sz="8" w:space="0"/>
          <w:bottom w:val="single" w:color="97CD71" w:themeColor="accent4" w:themeTint="BF" w:sz="8" w:space="0"/>
          <w:right w:val="single" w:color="97CD71"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CEED0" w:themeFill="accent4" w:themeFillTint="3F"/>
      </w:tcPr>
    </w:tblStylePr>
    <w:tblStylePr w:type="band1Horz">
      <w:tblPr/>
      <w:tcPr>
        <w:tcBorders>
          <w:insideH w:val="nil"/>
          <w:insideV w:val="nil"/>
        </w:tcBorders>
        <w:shd w:val="clear" w:color="auto" w:fill="DCEED0"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5DD6CC" w:themeColor="accent5" w:themeTint="BF" w:sz="8" w:space="0"/>
        <w:left w:val="single" w:color="5DD6CC" w:themeColor="accent5" w:themeTint="BF" w:sz="8" w:space="0"/>
        <w:bottom w:val="single" w:color="5DD6CC" w:themeColor="accent5" w:themeTint="BF" w:sz="8" w:space="0"/>
        <w:right w:val="single" w:color="5DD6CC" w:themeColor="accent5" w:themeTint="BF" w:sz="8" w:space="0"/>
        <w:insideH w:val="single" w:color="5DD6CC"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5DD6CC" w:themeColor="accent5" w:themeTint="BF" w:sz="8" w:space="0"/>
          <w:left w:val="single" w:color="5DD6CC" w:themeColor="accent5" w:themeTint="BF" w:sz="8" w:space="0"/>
          <w:bottom w:val="single" w:color="5DD6CC" w:themeColor="accent5" w:themeTint="BF" w:sz="8" w:space="0"/>
          <w:right w:val="single" w:color="5DD6CC" w:themeColor="accent5" w:themeTint="BF" w:sz="8" w:space="0"/>
          <w:insideH w:val="nil"/>
          <w:insideV w:val="nil"/>
        </w:tcBorders>
        <w:shd w:val="clear" w:color="auto" w:fill="30C0B4" w:themeFill="accent5"/>
      </w:tcPr>
    </w:tblStylePr>
    <w:tblStylePr w:type="lastRow">
      <w:pPr>
        <w:spacing w:before="0" w:after="0" w:line="240" w:lineRule="auto"/>
      </w:pPr>
      <w:rPr>
        <w:b/>
        <w:bCs/>
      </w:rPr>
      <w:tblPr/>
      <w:tcPr>
        <w:tcBorders>
          <w:top w:val="double" w:color="5DD6CC" w:themeColor="accent5" w:themeTint="BF" w:sz="6" w:space="0"/>
          <w:left w:val="single" w:color="5DD6CC" w:themeColor="accent5" w:themeTint="BF" w:sz="8" w:space="0"/>
          <w:bottom w:val="single" w:color="5DD6CC" w:themeColor="accent5" w:themeTint="BF" w:sz="8" w:space="0"/>
          <w:right w:val="single" w:color="5DD6CC"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C9F1EE" w:themeFill="accent5" w:themeFillTint="3F"/>
      </w:tcPr>
    </w:tblStylePr>
    <w:tblStylePr w:type="band1Horz">
      <w:tblPr/>
      <w:tcPr>
        <w:tcBorders>
          <w:insideH w:val="nil"/>
          <w:insideV w:val="nil"/>
        </w:tcBorders>
        <w:shd w:val="clear" w:color="auto" w:fill="C9F1EE"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EB7886" w:themeColor="accent6" w:themeTint="BF" w:sz="8" w:space="0"/>
        <w:left w:val="single" w:color="EB7886" w:themeColor="accent6" w:themeTint="BF" w:sz="8" w:space="0"/>
        <w:bottom w:val="single" w:color="EB7886" w:themeColor="accent6" w:themeTint="BF" w:sz="8" w:space="0"/>
        <w:right w:val="single" w:color="EB7886" w:themeColor="accent6" w:themeTint="BF" w:sz="8" w:space="0"/>
        <w:insideH w:val="single" w:color="EB7886"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EB7886" w:themeColor="accent6" w:themeTint="BF" w:sz="8" w:space="0"/>
          <w:left w:val="single" w:color="EB7886" w:themeColor="accent6" w:themeTint="BF" w:sz="8" w:space="0"/>
          <w:bottom w:val="single" w:color="EB7886" w:themeColor="accent6" w:themeTint="BF" w:sz="8" w:space="0"/>
          <w:right w:val="single" w:color="EB7886" w:themeColor="accent6" w:themeTint="BF" w:sz="8" w:space="0"/>
          <w:insideH w:val="nil"/>
          <w:insideV w:val="nil"/>
        </w:tcBorders>
        <w:shd w:val="clear" w:color="auto" w:fill="E54C5E" w:themeFill="accent6"/>
      </w:tcPr>
    </w:tblStylePr>
    <w:tblStylePr w:type="lastRow">
      <w:pPr>
        <w:spacing w:before="0" w:after="0" w:line="240" w:lineRule="auto"/>
      </w:pPr>
      <w:rPr>
        <w:b/>
        <w:bCs/>
      </w:rPr>
      <w:tblPr/>
      <w:tcPr>
        <w:tcBorders>
          <w:top w:val="double" w:color="EB7886" w:themeColor="accent6" w:themeTint="BF" w:sz="6" w:space="0"/>
          <w:left w:val="single" w:color="EB7886" w:themeColor="accent6" w:themeTint="BF" w:sz="8" w:space="0"/>
          <w:bottom w:val="single" w:color="EB7886" w:themeColor="accent6" w:themeTint="BF" w:sz="8" w:space="0"/>
          <w:right w:val="single" w:color="EB788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8D2D7" w:themeFill="accent6" w:themeFillTint="3F"/>
      </w:tcPr>
    </w:tblStylePr>
    <w:tblStylePr w:type="band1Horz">
      <w:tblPr/>
      <w:tcPr>
        <w:tcBorders>
          <w:insideH w:val="nil"/>
          <w:insideV w:val="nil"/>
        </w:tcBorders>
        <w:shd w:val="clear" w:color="auto" w:fill="F8D2D7"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874CB"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874CB"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874CB"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E822F"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E822F"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E822F"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2BA02"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2BA02"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2BA02"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5BD4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5BD4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5BD4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30C0B4"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30C0B4"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30C0B4"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54C5E"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54C5E"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54C5E"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4546A"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874CB" w:themeColor="accent1" w:sz="8" w:space="0"/>
        <w:bottom w:val="single" w:color="4874CB"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874CB" w:themeColor="accent1" w:sz="8" w:space="0"/>
        </w:tcBorders>
      </w:tcPr>
    </w:tblStylePr>
    <w:tblStylePr w:type="lastRow">
      <w:rPr>
        <w:b/>
        <w:bCs/>
        <w:color w:val="44546A" w:themeColor="text2"/>
        <w14:textFill>
          <w14:solidFill>
            <w14:schemeClr w14:val="tx2"/>
          </w14:solidFill>
        </w14:textFill>
      </w:rPr>
      <w:tblPr/>
      <w:tcPr>
        <w:tcBorders>
          <w:top w:val="single" w:color="4874CB" w:themeColor="accent1" w:sz="8" w:space="0"/>
          <w:bottom w:val="single" w:color="4874CB" w:themeColor="accent1" w:sz="8" w:space="0"/>
        </w:tcBorders>
      </w:tcPr>
    </w:tblStylePr>
    <w:tblStylePr w:type="firstCol">
      <w:rPr>
        <w:b/>
        <w:bCs/>
      </w:rPr>
    </w:tblStylePr>
    <w:tblStylePr w:type="lastCol">
      <w:rPr>
        <w:b/>
        <w:bCs/>
      </w:rPr>
      <w:tblPr/>
      <w:tcPr>
        <w:tcBorders>
          <w:top w:val="single" w:color="4874CB" w:themeColor="accent1" w:sz="8" w:space="0"/>
          <w:bottom w:val="single" w:color="4874CB" w:themeColor="accent1" w:sz="8" w:space="0"/>
        </w:tcBorders>
      </w:tcPr>
    </w:tblStylePr>
    <w:tblStylePr w:type="band1Vert">
      <w:tblPr/>
      <w:tcPr>
        <w:shd w:val="clear" w:color="auto" w:fill="D1DCF2" w:themeFill="accent1" w:themeFillTint="3F"/>
      </w:tcPr>
    </w:tblStylePr>
    <w:tblStylePr w:type="band1Horz">
      <w:tblPr/>
      <w:tcPr>
        <w:shd w:val="clear" w:color="auto" w:fill="D1DCF2"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EE822F" w:themeColor="accent2" w:sz="8" w:space="0"/>
        <w:bottom w:val="single" w:color="EE822F"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EE822F" w:themeColor="accent2" w:sz="8" w:space="0"/>
        </w:tcBorders>
      </w:tcPr>
    </w:tblStylePr>
    <w:tblStylePr w:type="lastRow">
      <w:rPr>
        <w:b/>
        <w:bCs/>
        <w:color w:val="44546A" w:themeColor="text2"/>
        <w14:textFill>
          <w14:solidFill>
            <w14:schemeClr w14:val="tx2"/>
          </w14:solidFill>
        </w14:textFill>
      </w:rPr>
      <w:tblPr/>
      <w:tcPr>
        <w:tcBorders>
          <w:top w:val="single" w:color="EE822F" w:themeColor="accent2" w:sz="8" w:space="0"/>
          <w:bottom w:val="single" w:color="EE822F" w:themeColor="accent2" w:sz="8" w:space="0"/>
        </w:tcBorders>
      </w:tcPr>
    </w:tblStylePr>
    <w:tblStylePr w:type="firstCol">
      <w:rPr>
        <w:b/>
        <w:bCs/>
      </w:rPr>
    </w:tblStylePr>
    <w:tblStylePr w:type="lastCol">
      <w:rPr>
        <w:b/>
        <w:bCs/>
      </w:rPr>
      <w:tblPr/>
      <w:tcPr>
        <w:tcBorders>
          <w:top w:val="single" w:color="EE822F" w:themeColor="accent2" w:sz="8" w:space="0"/>
          <w:bottom w:val="single" w:color="EE822F" w:themeColor="accent2" w:sz="8" w:space="0"/>
        </w:tcBorders>
      </w:tcPr>
    </w:tblStylePr>
    <w:tblStylePr w:type="band1Vert">
      <w:tblPr/>
      <w:tcPr>
        <w:shd w:val="clear" w:color="auto" w:fill="FAE0CB" w:themeFill="accent2" w:themeFillTint="3F"/>
      </w:tcPr>
    </w:tblStylePr>
    <w:tblStylePr w:type="band1Horz">
      <w:tblPr/>
      <w:tcPr>
        <w:shd w:val="clear" w:color="auto" w:fill="FAE0CB"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F2BA02" w:themeColor="accent3" w:sz="8" w:space="0"/>
        <w:bottom w:val="single" w:color="F2BA02"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2BA02" w:themeColor="accent3" w:sz="8" w:space="0"/>
        </w:tcBorders>
      </w:tcPr>
    </w:tblStylePr>
    <w:tblStylePr w:type="lastRow">
      <w:rPr>
        <w:b/>
        <w:bCs/>
        <w:color w:val="44546A" w:themeColor="text2"/>
        <w14:textFill>
          <w14:solidFill>
            <w14:schemeClr w14:val="tx2"/>
          </w14:solidFill>
        </w14:textFill>
      </w:rPr>
      <w:tblPr/>
      <w:tcPr>
        <w:tcBorders>
          <w:top w:val="single" w:color="F2BA02" w:themeColor="accent3" w:sz="8" w:space="0"/>
          <w:bottom w:val="single" w:color="F2BA02" w:themeColor="accent3" w:sz="8" w:space="0"/>
        </w:tcBorders>
      </w:tcPr>
    </w:tblStylePr>
    <w:tblStylePr w:type="firstCol">
      <w:rPr>
        <w:b/>
        <w:bCs/>
      </w:rPr>
    </w:tblStylePr>
    <w:tblStylePr w:type="lastCol">
      <w:rPr>
        <w:b/>
        <w:bCs/>
      </w:rPr>
      <w:tblPr/>
      <w:tcPr>
        <w:tcBorders>
          <w:top w:val="single" w:color="F2BA02" w:themeColor="accent3" w:sz="8" w:space="0"/>
          <w:bottom w:val="single" w:color="F2BA02" w:themeColor="accent3" w:sz="8" w:space="0"/>
        </w:tcBorders>
      </w:tcPr>
    </w:tblStylePr>
    <w:tblStylePr w:type="band1Vert">
      <w:tblPr/>
      <w:tcPr>
        <w:shd w:val="clear" w:color="auto" w:fill="FEEFBD" w:themeFill="accent3" w:themeFillTint="3F"/>
      </w:tcPr>
    </w:tblStylePr>
    <w:tblStylePr w:type="band1Horz">
      <w:tblPr/>
      <w:tcPr>
        <w:shd w:val="clear" w:color="auto" w:fill="FEEFBD"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75BD42" w:themeColor="accent4" w:sz="8" w:space="0"/>
        <w:bottom w:val="single" w:color="75BD4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75BD42" w:themeColor="accent4" w:sz="8" w:space="0"/>
        </w:tcBorders>
      </w:tcPr>
    </w:tblStylePr>
    <w:tblStylePr w:type="lastRow">
      <w:rPr>
        <w:b/>
        <w:bCs/>
        <w:color w:val="44546A" w:themeColor="text2"/>
        <w14:textFill>
          <w14:solidFill>
            <w14:schemeClr w14:val="tx2"/>
          </w14:solidFill>
        </w14:textFill>
      </w:rPr>
      <w:tblPr/>
      <w:tcPr>
        <w:tcBorders>
          <w:top w:val="single" w:color="75BD42" w:themeColor="accent4" w:sz="8" w:space="0"/>
          <w:bottom w:val="single" w:color="75BD42" w:themeColor="accent4" w:sz="8" w:space="0"/>
        </w:tcBorders>
      </w:tcPr>
    </w:tblStylePr>
    <w:tblStylePr w:type="firstCol">
      <w:rPr>
        <w:b/>
        <w:bCs/>
      </w:rPr>
    </w:tblStylePr>
    <w:tblStylePr w:type="lastCol">
      <w:rPr>
        <w:b/>
        <w:bCs/>
      </w:rPr>
      <w:tblPr/>
      <w:tcPr>
        <w:tcBorders>
          <w:top w:val="single" w:color="75BD42" w:themeColor="accent4" w:sz="8" w:space="0"/>
          <w:bottom w:val="single" w:color="75BD42" w:themeColor="accent4" w:sz="8" w:space="0"/>
        </w:tcBorders>
      </w:tcPr>
    </w:tblStylePr>
    <w:tblStylePr w:type="band1Vert">
      <w:tblPr/>
      <w:tcPr>
        <w:shd w:val="clear" w:color="auto" w:fill="DCEED0" w:themeFill="accent4" w:themeFillTint="3F"/>
      </w:tcPr>
    </w:tblStylePr>
    <w:tblStylePr w:type="band1Horz">
      <w:tblPr/>
      <w:tcPr>
        <w:shd w:val="clear" w:color="auto" w:fill="DCEED0"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30C0B4" w:themeColor="accent5" w:sz="8" w:space="0"/>
        <w:bottom w:val="single" w:color="30C0B4"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30C0B4" w:themeColor="accent5" w:sz="8" w:space="0"/>
        </w:tcBorders>
      </w:tcPr>
    </w:tblStylePr>
    <w:tblStylePr w:type="lastRow">
      <w:rPr>
        <w:b/>
        <w:bCs/>
        <w:color w:val="44546A" w:themeColor="text2"/>
        <w14:textFill>
          <w14:solidFill>
            <w14:schemeClr w14:val="tx2"/>
          </w14:solidFill>
        </w14:textFill>
      </w:rPr>
      <w:tblPr/>
      <w:tcPr>
        <w:tcBorders>
          <w:top w:val="single" w:color="30C0B4" w:themeColor="accent5" w:sz="8" w:space="0"/>
          <w:bottom w:val="single" w:color="30C0B4" w:themeColor="accent5" w:sz="8" w:space="0"/>
        </w:tcBorders>
      </w:tcPr>
    </w:tblStylePr>
    <w:tblStylePr w:type="firstCol">
      <w:rPr>
        <w:b/>
        <w:bCs/>
      </w:rPr>
    </w:tblStylePr>
    <w:tblStylePr w:type="lastCol">
      <w:rPr>
        <w:b/>
        <w:bCs/>
      </w:rPr>
      <w:tblPr/>
      <w:tcPr>
        <w:tcBorders>
          <w:top w:val="single" w:color="30C0B4" w:themeColor="accent5" w:sz="8" w:space="0"/>
          <w:bottom w:val="single" w:color="30C0B4" w:themeColor="accent5" w:sz="8" w:space="0"/>
        </w:tcBorders>
      </w:tcPr>
    </w:tblStylePr>
    <w:tblStylePr w:type="band1Vert">
      <w:tblPr/>
      <w:tcPr>
        <w:shd w:val="clear" w:color="auto" w:fill="C9F1EE" w:themeFill="accent5" w:themeFillTint="3F"/>
      </w:tcPr>
    </w:tblStylePr>
    <w:tblStylePr w:type="band1Horz">
      <w:tblPr/>
      <w:tcPr>
        <w:shd w:val="clear" w:color="auto" w:fill="C9F1EE"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E54C5E" w:themeColor="accent6" w:sz="8" w:space="0"/>
        <w:bottom w:val="single" w:color="E54C5E"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E54C5E" w:themeColor="accent6" w:sz="8" w:space="0"/>
        </w:tcBorders>
      </w:tcPr>
    </w:tblStylePr>
    <w:tblStylePr w:type="lastRow">
      <w:rPr>
        <w:b/>
        <w:bCs/>
        <w:color w:val="44546A" w:themeColor="text2"/>
        <w14:textFill>
          <w14:solidFill>
            <w14:schemeClr w14:val="tx2"/>
          </w14:solidFill>
        </w14:textFill>
      </w:rPr>
      <w:tblPr/>
      <w:tcPr>
        <w:tcBorders>
          <w:top w:val="single" w:color="E54C5E" w:themeColor="accent6" w:sz="8" w:space="0"/>
          <w:bottom w:val="single" w:color="E54C5E" w:themeColor="accent6" w:sz="8" w:space="0"/>
        </w:tcBorders>
      </w:tcPr>
    </w:tblStylePr>
    <w:tblStylePr w:type="firstCol">
      <w:rPr>
        <w:b/>
        <w:bCs/>
      </w:rPr>
    </w:tblStylePr>
    <w:tblStylePr w:type="lastCol">
      <w:rPr>
        <w:b/>
        <w:bCs/>
      </w:rPr>
      <w:tblPr/>
      <w:tcPr>
        <w:tcBorders>
          <w:top w:val="single" w:color="E54C5E" w:themeColor="accent6" w:sz="8" w:space="0"/>
          <w:bottom w:val="single" w:color="E54C5E" w:themeColor="accent6" w:sz="8" w:space="0"/>
        </w:tcBorders>
      </w:tcPr>
    </w:tblStylePr>
    <w:tblStylePr w:type="band1Vert">
      <w:tblPr/>
      <w:tcPr>
        <w:shd w:val="clear" w:color="auto" w:fill="F8D2D7" w:themeFill="accent6" w:themeFillTint="3F"/>
      </w:tcPr>
    </w:tblStylePr>
    <w:tblStylePr w:type="band1Horz">
      <w:tblPr/>
      <w:tcPr>
        <w:shd w:val="clear" w:color="auto" w:fill="F8D2D7"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874CB" w:themeColor="accent1" w:sz="8" w:space="0"/>
        <w:left w:val="single" w:color="4874CB" w:themeColor="accent1" w:sz="8" w:space="0"/>
        <w:bottom w:val="single" w:color="4874CB" w:themeColor="accent1" w:sz="8" w:space="0"/>
        <w:right w:val="single" w:color="4874CB"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874CB" w:themeColor="accent1" w:sz="24" w:space="0"/>
          <w:right w:val="nil"/>
          <w:insideH w:val="nil"/>
          <w:insideV w:val="nil"/>
        </w:tcBorders>
        <w:shd w:val="clear" w:color="auto" w:fill="FFFFFF" w:themeFill="background1"/>
      </w:tcPr>
    </w:tblStylePr>
    <w:tblStylePr w:type="lastRow">
      <w:tblPr/>
      <w:tcPr>
        <w:tcBorders>
          <w:top w:val="single" w:color="4874CB"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874CB" w:themeColor="accent1" w:sz="8" w:space="0"/>
          <w:insideH w:val="nil"/>
          <w:insideV w:val="nil"/>
        </w:tcBorders>
        <w:shd w:val="clear" w:color="auto" w:fill="FFFFFF" w:themeFill="background1"/>
      </w:tcPr>
    </w:tblStylePr>
    <w:tblStylePr w:type="lastCol">
      <w:tblPr/>
      <w:tcPr>
        <w:tcBorders>
          <w:top w:val="nil"/>
          <w:left w:val="single" w:color="4874CB"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CF2" w:themeFill="accent1" w:themeFillTint="3F"/>
      </w:tcPr>
    </w:tblStylePr>
    <w:tblStylePr w:type="band1Horz">
      <w:tblPr/>
      <w:tcPr>
        <w:tcBorders>
          <w:top w:val="nil"/>
          <w:bottom w:val="nil"/>
          <w:insideH w:val="nil"/>
          <w:insideV w:val="nil"/>
        </w:tcBorders>
        <w:shd w:val="clear" w:color="auto" w:fill="D1DC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EE822F" w:themeColor="accent2" w:sz="8" w:space="0"/>
        <w:left w:val="single" w:color="EE822F" w:themeColor="accent2" w:sz="8" w:space="0"/>
        <w:bottom w:val="single" w:color="EE822F" w:themeColor="accent2" w:sz="8" w:space="0"/>
        <w:right w:val="single" w:color="EE822F"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EE822F" w:themeColor="accent2" w:sz="24" w:space="0"/>
          <w:right w:val="nil"/>
          <w:insideH w:val="nil"/>
          <w:insideV w:val="nil"/>
        </w:tcBorders>
        <w:shd w:val="clear" w:color="auto" w:fill="FFFFFF" w:themeFill="background1"/>
      </w:tcPr>
    </w:tblStylePr>
    <w:tblStylePr w:type="lastRow">
      <w:tblPr/>
      <w:tcPr>
        <w:tcBorders>
          <w:top w:val="single" w:color="EE822F"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E822F" w:themeColor="accent2" w:sz="8" w:space="0"/>
          <w:insideH w:val="nil"/>
          <w:insideV w:val="nil"/>
        </w:tcBorders>
        <w:shd w:val="clear" w:color="auto" w:fill="FFFFFF" w:themeFill="background1"/>
      </w:tcPr>
    </w:tblStylePr>
    <w:tblStylePr w:type="lastCol">
      <w:tblPr/>
      <w:tcPr>
        <w:tcBorders>
          <w:top w:val="nil"/>
          <w:left w:val="single" w:color="EE822F"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0CB" w:themeFill="accent2" w:themeFillTint="3F"/>
      </w:tcPr>
    </w:tblStylePr>
    <w:tblStylePr w:type="band1Horz">
      <w:tblPr/>
      <w:tcPr>
        <w:tcBorders>
          <w:top w:val="nil"/>
          <w:bottom w:val="nil"/>
          <w:insideH w:val="nil"/>
          <w:insideV w:val="nil"/>
        </w:tcBorders>
        <w:shd w:val="clear" w:color="auto" w:fill="FAE0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2BA02" w:themeColor="accent3" w:sz="8" w:space="0"/>
        <w:left w:val="single" w:color="F2BA02" w:themeColor="accent3" w:sz="8" w:space="0"/>
        <w:bottom w:val="single" w:color="F2BA02" w:themeColor="accent3" w:sz="8" w:space="0"/>
        <w:right w:val="single" w:color="F2BA02"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F2BA02" w:themeColor="accent3" w:sz="24" w:space="0"/>
          <w:right w:val="nil"/>
          <w:insideH w:val="nil"/>
          <w:insideV w:val="nil"/>
        </w:tcBorders>
        <w:shd w:val="clear" w:color="auto" w:fill="FFFFFF" w:themeFill="background1"/>
      </w:tcPr>
    </w:tblStylePr>
    <w:tblStylePr w:type="lastRow">
      <w:tblPr/>
      <w:tcPr>
        <w:tcBorders>
          <w:top w:val="single" w:color="F2BA02"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2BA02" w:themeColor="accent3" w:sz="8" w:space="0"/>
          <w:insideH w:val="nil"/>
          <w:insideV w:val="nil"/>
        </w:tcBorders>
        <w:shd w:val="clear" w:color="auto" w:fill="FFFFFF" w:themeFill="background1"/>
      </w:tcPr>
    </w:tblStylePr>
    <w:tblStylePr w:type="lastCol">
      <w:tblPr/>
      <w:tcPr>
        <w:tcBorders>
          <w:top w:val="nil"/>
          <w:left w:val="single" w:color="F2BA02"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FBD" w:themeFill="accent3" w:themeFillTint="3F"/>
      </w:tcPr>
    </w:tblStylePr>
    <w:tblStylePr w:type="band1Horz">
      <w:tblPr/>
      <w:tcPr>
        <w:tcBorders>
          <w:top w:val="nil"/>
          <w:bottom w:val="nil"/>
          <w:insideH w:val="nil"/>
          <w:insideV w:val="nil"/>
        </w:tcBorders>
        <w:shd w:val="clear" w:color="auto" w:fill="FEEFB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75BD42" w:themeColor="accent4" w:sz="8" w:space="0"/>
        <w:left w:val="single" w:color="75BD42" w:themeColor="accent4" w:sz="8" w:space="0"/>
        <w:bottom w:val="single" w:color="75BD42" w:themeColor="accent4" w:sz="8" w:space="0"/>
        <w:right w:val="single" w:color="75BD4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75BD42" w:themeColor="accent4" w:sz="24" w:space="0"/>
          <w:right w:val="nil"/>
          <w:insideH w:val="nil"/>
          <w:insideV w:val="nil"/>
        </w:tcBorders>
        <w:shd w:val="clear" w:color="auto" w:fill="FFFFFF" w:themeFill="background1"/>
      </w:tcPr>
    </w:tblStylePr>
    <w:tblStylePr w:type="lastRow">
      <w:tblPr/>
      <w:tcPr>
        <w:tcBorders>
          <w:top w:val="single" w:color="75BD4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5BD42" w:themeColor="accent4" w:sz="8" w:space="0"/>
          <w:insideH w:val="nil"/>
          <w:insideV w:val="nil"/>
        </w:tcBorders>
        <w:shd w:val="clear" w:color="auto" w:fill="FFFFFF" w:themeFill="background1"/>
      </w:tcPr>
    </w:tblStylePr>
    <w:tblStylePr w:type="lastCol">
      <w:tblPr/>
      <w:tcPr>
        <w:tcBorders>
          <w:top w:val="nil"/>
          <w:left w:val="single" w:color="75BD4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ED0" w:themeFill="accent4" w:themeFillTint="3F"/>
      </w:tcPr>
    </w:tblStylePr>
    <w:tblStylePr w:type="band1Horz">
      <w:tblPr/>
      <w:tcPr>
        <w:tcBorders>
          <w:top w:val="nil"/>
          <w:bottom w:val="nil"/>
          <w:insideH w:val="nil"/>
          <w:insideV w:val="nil"/>
        </w:tcBorders>
        <w:shd w:val="clear" w:color="auto" w:fill="DCEED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30C0B4" w:themeColor="accent5" w:sz="8" w:space="0"/>
        <w:left w:val="single" w:color="30C0B4" w:themeColor="accent5" w:sz="8" w:space="0"/>
        <w:bottom w:val="single" w:color="30C0B4" w:themeColor="accent5" w:sz="8" w:space="0"/>
        <w:right w:val="single" w:color="30C0B4"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30C0B4" w:themeColor="accent5" w:sz="24" w:space="0"/>
          <w:right w:val="nil"/>
          <w:insideH w:val="nil"/>
          <w:insideV w:val="nil"/>
        </w:tcBorders>
        <w:shd w:val="clear" w:color="auto" w:fill="FFFFFF" w:themeFill="background1"/>
      </w:tcPr>
    </w:tblStylePr>
    <w:tblStylePr w:type="lastRow">
      <w:tblPr/>
      <w:tcPr>
        <w:tcBorders>
          <w:top w:val="single" w:color="30C0B4"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30C0B4" w:themeColor="accent5" w:sz="8" w:space="0"/>
          <w:insideH w:val="nil"/>
          <w:insideV w:val="nil"/>
        </w:tcBorders>
        <w:shd w:val="clear" w:color="auto" w:fill="FFFFFF" w:themeFill="background1"/>
      </w:tcPr>
    </w:tblStylePr>
    <w:tblStylePr w:type="lastCol">
      <w:tblPr/>
      <w:tcPr>
        <w:tcBorders>
          <w:top w:val="nil"/>
          <w:left w:val="single" w:color="30C0B4"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F1EE" w:themeFill="accent5" w:themeFillTint="3F"/>
      </w:tcPr>
    </w:tblStylePr>
    <w:tblStylePr w:type="band1Horz">
      <w:tblPr/>
      <w:tcPr>
        <w:tcBorders>
          <w:top w:val="nil"/>
          <w:bottom w:val="nil"/>
          <w:insideH w:val="nil"/>
          <w:insideV w:val="nil"/>
        </w:tcBorders>
        <w:shd w:val="clear" w:color="auto" w:fill="C9F1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E54C5E" w:themeColor="accent6" w:sz="8" w:space="0"/>
        <w:left w:val="single" w:color="E54C5E" w:themeColor="accent6" w:sz="8" w:space="0"/>
        <w:bottom w:val="single" w:color="E54C5E" w:themeColor="accent6" w:sz="8" w:space="0"/>
        <w:right w:val="single" w:color="E54C5E"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E54C5E" w:themeColor="accent6" w:sz="24" w:space="0"/>
          <w:right w:val="nil"/>
          <w:insideH w:val="nil"/>
          <w:insideV w:val="nil"/>
        </w:tcBorders>
        <w:shd w:val="clear" w:color="auto" w:fill="FFFFFF" w:themeFill="background1"/>
      </w:tcPr>
    </w:tblStylePr>
    <w:tblStylePr w:type="lastRow">
      <w:tblPr/>
      <w:tcPr>
        <w:tcBorders>
          <w:top w:val="single" w:color="E54C5E"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54C5E" w:themeColor="accent6" w:sz="8" w:space="0"/>
          <w:insideH w:val="nil"/>
          <w:insideV w:val="nil"/>
        </w:tcBorders>
        <w:shd w:val="clear" w:color="auto" w:fill="FFFFFF" w:themeFill="background1"/>
      </w:tcPr>
    </w:tblStylePr>
    <w:tblStylePr w:type="lastCol">
      <w:tblPr/>
      <w:tcPr>
        <w:tcBorders>
          <w:top w:val="nil"/>
          <w:left w:val="single" w:color="E54C5E"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2D7" w:themeFill="accent6" w:themeFillTint="3F"/>
      </w:tcPr>
    </w:tblStylePr>
    <w:tblStylePr w:type="band1Horz">
      <w:tblPr/>
      <w:tcPr>
        <w:tcBorders>
          <w:top w:val="nil"/>
          <w:bottom w:val="nil"/>
          <w:insideH w:val="nil"/>
          <w:insideV w:val="nil"/>
        </w:tcBorders>
        <w:shd w:val="clear" w:color="auto" w:fill="F8D2D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596D8" w:themeColor="accent1" w:themeTint="BF" w:sz="8" w:space="0"/>
        <w:left w:val="single" w:color="7596D8" w:themeColor="accent1" w:themeTint="BF" w:sz="8" w:space="0"/>
        <w:bottom w:val="single" w:color="7596D8" w:themeColor="accent1" w:themeTint="BF" w:sz="8" w:space="0"/>
        <w:right w:val="single" w:color="7596D8" w:themeColor="accent1" w:themeTint="BF" w:sz="8" w:space="0"/>
        <w:insideH w:val="single" w:color="7596D8" w:themeColor="accent1" w:themeTint="BF" w:sz="8" w:space="0"/>
        <w:insideV w:val="single" w:color="7596D8" w:themeColor="accent1" w:themeTint="BF" w:sz="8" w:space="0"/>
      </w:tblBorders>
      <w:tblCellMar>
        <w:top w:w="0" w:type="dxa"/>
        <w:left w:w="108" w:type="dxa"/>
        <w:bottom w:w="0" w:type="dxa"/>
        <w:right w:w="108" w:type="dxa"/>
      </w:tblCellMar>
    </w:tblPr>
    <w:tcPr>
      <w:shd w:val="clear" w:color="auto" w:fill="D1DCF2" w:themeFill="accent1" w:themeFillTint="3F"/>
    </w:tcPr>
    <w:tblStylePr w:type="firstRow">
      <w:rPr>
        <w:b/>
        <w:bCs/>
      </w:rPr>
    </w:tblStylePr>
    <w:tblStylePr w:type="lastRow">
      <w:rPr>
        <w:b/>
        <w:bCs/>
      </w:rPr>
      <w:tblPr/>
      <w:tcPr>
        <w:tcBorders>
          <w:top w:val="single" w:color="7596D8" w:themeColor="accent1" w:themeTint="BF" w:sz="18" w:space="0"/>
        </w:tcBorders>
      </w:tcPr>
    </w:tblStylePr>
    <w:tblStylePr w:type="firstCol">
      <w:rPr>
        <w:b/>
        <w:bCs/>
      </w:rPr>
    </w:tblStylePr>
    <w:tblStylePr w:type="lastCol">
      <w:rPr>
        <w:b/>
        <w:bCs/>
      </w:rPr>
    </w:tblStylePr>
    <w:tblStylePr w:type="band1Vert">
      <w:tblPr/>
      <w:tcPr>
        <w:shd w:val="clear" w:color="auto" w:fill="A3B9E5" w:themeFill="accent1" w:themeFillTint="7F"/>
      </w:tcPr>
    </w:tblStylePr>
    <w:tblStylePr w:type="band1Horz">
      <w:tblPr/>
      <w:tcPr>
        <w:shd w:val="clear" w:color="auto" w:fill="A3B9E5" w:themeFill="accent1" w:themeFillTint="7F"/>
      </w:tcPr>
    </w:tblStylePr>
  </w:style>
  <w:style w:type="table" w:styleId="85">
    <w:name w:val="Medium Grid 1 Accent 2"/>
    <w:basedOn w:val="32"/>
    <w:uiPriority w:val="67"/>
    <w:pPr>
      <w:spacing w:after="0" w:line="240" w:lineRule="auto"/>
    </w:pPr>
    <w:tblPr>
      <w:tblBorders>
        <w:top w:val="single" w:color="F2A163" w:themeColor="accent2" w:themeTint="BF" w:sz="8" w:space="0"/>
        <w:left w:val="single" w:color="F2A163" w:themeColor="accent2" w:themeTint="BF" w:sz="8" w:space="0"/>
        <w:bottom w:val="single" w:color="F2A163" w:themeColor="accent2" w:themeTint="BF" w:sz="8" w:space="0"/>
        <w:right w:val="single" w:color="F2A163" w:themeColor="accent2" w:themeTint="BF" w:sz="8" w:space="0"/>
        <w:insideH w:val="single" w:color="F2A163" w:themeColor="accent2" w:themeTint="BF" w:sz="8" w:space="0"/>
        <w:insideV w:val="single" w:color="F2A163" w:themeColor="accent2" w:themeTint="BF" w:sz="8" w:space="0"/>
      </w:tblBorders>
      <w:tblCellMar>
        <w:top w:w="0" w:type="dxa"/>
        <w:left w:w="108" w:type="dxa"/>
        <w:bottom w:w="0" w:type="dxa"/>
        <w:right w:w="108" w:type="dxa"/>
      </w:tblCellMar>
    </w:tblPr>
    <w:tcPr>
      <w:shd w:val="clear" w:color="auto" w:fill="FAE0CB" w:themeFill="accent2" w:themeFillTint="3F"/>
    </w:tcPr>
    <w:tblStylePr w:type="firstRow">
      <w:rPr>
        <w:b/>
        <w:bCs/>
      </w:rPr>
    </w:tblStylePr>
    <w:tblStylePr w:type="lastRow">
      <w:rPr>
        <w:b/>
        <w:bCs/>
      </w:rPr>
      <w:tblPr/>
      <w:tcPr>
        <w:tcBorders>
          <w:top w:val="single" w:color="F2A163" w:themeColor="accent2" w:themeTint="BF" w:sz="18" w:space="0"/>
        </w:tcBorders>
      </w:tcPr>
    </w:tblStylePr>
    <w:tblStylePr w:type="firstCol">
      <w:rPr>
        <w:b/>
        <w:bCs/>
      </w:rPr>
    </w:tblStylePr>
    <w:tblStylePr w:type="lastCol">
      <w:rPr>
        <w:b/>
        <w:bCs/>
      </w:rPr>
    </w:tblStylePr>
    <w:tblStylePr w:type="band1Vert">
      <w:tblPr/>
      <w:tcPr>
        <w:shd w:val="clear" w:color="auto" w:fill="F6C097" w:themeFill="accent2" w:themeFillTint="7F"/>
      </w:tcPr>
    </w:tblStylePr>
    <w:tblStylePr w:type="band1Horz">
      <w:tblPr/>
      <w:tcPr>
        <w:shd w:val="clear" w:color="auto" w:fill="F6C097" w:themeFill="accent2" w:themeFillTint="7F"/>
      </w:tcPr>
    </w:tblStylePr>
  </w:style>
  <w:style w:type="table" w:styleId="86">
    <w:name w:val="Medium Grid 1 Accent 3"/>
    <w:basedOn w:val="32"/>
    <w:uiPriority w:val="67"/>
    <w:pPr>
      <w:spacing w:after="0" w:line="240" w:lineRule="auto"/>
    </w:pPr>
    <w:tblPr>
      <w:tblBorders>
        <w:top w:val="single" w:color="FDCF39" w:themeColor="accent3" w:themeTint="BF" w:sz="8" w:space="0"/>
        <w:left w:val="single" w:color="FDCF39" w:themeColor="accent3" w:themeTint="BF" w:sz="8" w:space="0"/>
        <w:bottom w:val="single" w:color="FDCF39" w:themeColor="accent3" w:themeTint="BF" w:sz="8" w:space="0"/>
        <w:right w:val="single" w:color="FDCF39" w:themeColor="accent3" w:themeTint="BF" w:sz="8" w:space="0"/>
        <w:insideH w:val="single" w:color="FDCF39" w:themeColor="accent3" w:themeTint="BF" w:sz="8" w:space="0"/>
        <w:insideV w:val="single" w:color="FDCF39" w:themeColor="accent3" w:themeTint="BF" w:sz="8" w:space="0"/>
      </w:tblBorders>
      <w:tblCellMar>
        <w:top w:w="0" w:type="dxa"/>
        <w:left w:w="108" w:type="dxa"/>
        <w:bottom w:w="0" w:type="dxa"/>
        <w:right w:w="108" w:type="dxa"/>
      </w:tblCellMar>
    </w:tblPr>
    <w:tcPr>
      <w:shd w:val="clear" w:color="auto" w:fill="FEEFBD" w:themeFill="accent3" w:themeFillTint="3F"/>
    </w:tcPr>
    <w:tblStylePr w:type="firstRow">
      <w:rPr>
        <w:b/>
        <w:bCs/>
      </w:rPr>
    </w:tblStylePr>
    <w:tblStylePr w:type="lastRow">
      <w:rPr>
        <w:b/>
        <w:bCs/>
      </w:rPr>
      <w:tblPr/>
      <w:tcPr>
        <w:tcBorders>
          <w:top w:val="single" w:color="FDCF39" w:themeColor="accent3" w:themeTint="BF" w:sz="18" w:space="0"/>
        </w:tcBorders>
      </w:tcPr>
    </w:tblStylePr>
    <w:tblStylePr w:type="firstCol">
      <w:rPr>
        <w:b/>
        <w:bCs/>
      </w:rPr>
    </w:tblStylePr>
    <w:tblStylePr w:type="lastCol">
      <w:rPr>
        <w:b/>
        <w:bCs/>
      </w:rPr>
    </w:tblStylePr>
    <w:tblStylePr w:type="band1Vert">
      <w:tblPr/>
      <w:tcPr>
        <w:shd w:val="clear" w:color="auto" w:fill="FDDF7B" w:themeFill="accent3" w:themeFillTint="7F"/>
      </w:tcPr>
    </w:tblStylePr>
    <w:tblStylePr w:type="band1Horz">
      <w:tblPr/>
      <w:tcPr>
        <w:shd w:val="clear" w:color="auto" w:fill="FDDF7B" w:themeFill="accent3" w:themeFillTint="7F"/>
      </w:tcPr>
    </w:tblStylePr>
  </w:style>
  <w:style w:type="table" w:styleId="87">
    <w:name w:val="Medium Grid 1 Accent 4"/>
    <w:basedOn w:val="32"/>
    <w:uiPriority w:val="67"/>
    <w:pPr>
      <w:spacing w:after="0" w:line="240" w:lineRule="auto"/>
    </w:pPr>
    <w:tblPr>
      <w:tblBorders>
        <w:top w:val="single" w:color="97CD71" w:themeColor="accent4" w:themeTint="BF" w:sz="8" w:space="0"/>
        <w:left w:val="single" w:color="97CD71" w:themeColor="accent4" w:themeTint="BF" w:sz="8" w:space="0"/>
        <w:bottom w:val="single" w:color="97CD71" w:themeColor="accent4" w:themeTint="BF" w:sz="8" w:space="0"/>
        <w:right w:val="single" w:color="97CD71" w:themeColor="accent4" w:themeTint="BF" w:sz="8" w:space="0"/>
        <w:insideH w:val="single" w:color="97CD71" w:themeColor="accent4" w:themeTint="BF" w:sz="8" w:space="0"/>
        <w:insideV w:val="single" w:color="97CD71" w:themeColor="accent4" w:themeTint="BF" w:sz="8" w:space="0"/>
      </w:tblBorders>
      <w:tblCellMar>
        <w:top w:w="0" w:type="dxa"/>
        <w:left w:w="108" w:type="dxa"/>
        <w:bottom w:w="0" w:type="dxa"/>
        <w:right w:w="108" w:type="dxa"/>
      </w:tblCellMar>
    </w:tblPr>
    <w:tcPr>
      <w:shd w:val="clear" w:color="auto" w:fill="DCEED0" w:themeFill="accent4" w:themeFillTint="3F"/>
    </w:tcPr>
    <w:tblStylePr w:type="firstRow">
      <w:rPr>
        <w:b/>
        <w:bCs/>
      </w:rPr>
    </w:tblStylePr>
    <w:tblStylePr w:type="lastRow">
      <w:rPr>
        <w:b/>
        <w:bCs/>
      </w:rPr>
      <w:tblPr/>
      <w:tcPr>
        <w:tcBorders>
          <w:top w:val="single" w:color="97CD71" w:themeColor="accent4" w:themeTint="BF" w:sz="18" w:space="0"/>
        </w:tcBorders>
      </w:tcPr>
    </w:tblStylePr>
    <w:tblStylePr w:type="firstCol">
      <w:rPr>
        <w:b/>
        <w:bCs/>
      </w:rPr>
    </w:tblStylePr>
    <w:tblStylePr w:type="lastCol">
      <w:rPr>
        <w:b/>
        <w:bCs/>
      </w:rPr>
    </w:tblStylePr>
    <w:tblStylePr w:type="band1Vert">
      <w:tblPr/>
      <w:tcPr>
        <w:shd w:val="clear" w:color="auto" w:fill="BADEA0" w:themeFill="accent4" w:themeFillTint="7F"/>
      </w:tcPr>
    </w:tblStylePr>
    <w:tblStylePr w:type="band1Horz">
      <w:tblPr/>
      <w:tcPr>
        <w:shd w:val="clear" w:color="auto" w:fill="BADEA0" w:themeFill="accent4" w:themeFillTint="7F"/>
      </w:tcPr>
    </w:tblStylePr>
  </w:style>
  <w:style w:type="table" w:styleId="88">
    <w:name w:val="Medium Grid 1 Accent 5"/>
    <w:basedOn w:val="32"/>
    <w:uiPriority w:val="67"/>
    <w:pPr>
      <w:spacing w:after="0" w:line="240" w:lineRule="auto"/>
    </w:pPr>
    <w:tblPr>
      <w:tblBorders>
        <w:top w:val="single" w:color="5DD6CC" w:themeColor="accent5" w:themeTint="BF" w:sz="8" w:space="0"/>
        <w:left w:val="single" w:color="5DD6CC" w:themeColor="accent5" w:themeTint="BF" w:sz="8" w:space="0"/>
        <w:bottom w:val="single" w:color="5DD6CC" w:themeColor="accent5" w:themeTint="BF" w:sz="8" w:space="0"/>
        <w:right w:val="single" w:color="5DD6CC" w:themeColor="accent5" w:themeTint="BF" w:sz="8" w:space="0"/>
        <w:insideH w:val="single" w:color="5DD6CC" w:themeColor="accent5" w:themeTint="BF" w:sz="8" w:space="0"/>
        <w:insideV w:val="single" w:color="5DD6CC" w:themeColor="accent5" w:themeTint="BF" w:sz="8" w:space="0"/>
      </w:tblBorders>
      <w:tblCellMar>
        <w:top w:w="0" w:type="dxa"/>
        <w:left w:w="108" w:type="dxa"/>
        <w:bottom w:w="0" w:type="dxa"/>
        <w:right w:w="108" w:type="dxa"/>
      </w:tblCellMar>
    </w:tblPr>
    <w:tcPr>
      <w:shd w:val="clear" w:color="auto" w:fill="C9F1EE" w:themeFill="accent5" w:themeFillTint="3F"/>
    </w:tcPr>
    <w:tblStylePr w:type="firstRow">
      <w:rPr>
        <w:b/>
        <w:bCs/>
      </w:rPr>
    </w:tblStylePr>
    <w:tblStylePr w:type="lastRow">
      <w:rPr>
        <w:b/>
        <w:bCs/>
      </w:rPr>
      <w:tblPr/>
      <w:tcPr>
        <w:tcBorders>
          <w:top w:val="single" w:color="5DD6CC" w:themeColor="accent5" w:themeTint="BF" w:sz="18" w:space="0"/>
        </w:tcBorders>
      </w:tcPr>
    </w:tblStylePr>
    <w:tblStylePr w:type="firstCol">
      <w:rPr>
        <w:b/>
        <w:bCs/>
      </w:rPr>
    </w:tblStylePr>
    <w:tblStylePr w:type="lastCol">
      <w:rPr>
        <w:b/>
        <w:bCs/>
      </w:rPr>
    </w:tblStylePr>
    <w:tblStylePr w:type="band1Vert">
      <w:tblPr/>
      <w:tcPr>
        <w:shd w:val="clear" w:color="auto" w:fill="93E4DD" w:themeFill="accent5" w:themeFillTint="7F"/>
      </w:tcPr>
    </w:tblStylePr>
    <w:tblStylePr w:type="band1Horz">
      <w:tblPr/>
      <w:tcPr>
        <w:shd w:val="clear" w:color="auto" w:fill="93E4DD" w:themeFill="accent5" w:themeFillTint="7F"/>
      </w:tcPr>
    </w:tblStylePr>
  </w:style>
  <w:style w:type="table" w:styleId="89">
    <w:name w:val="Medium Grid 1 Accent 6"/>
    <w:basedOn w:val="32"/>
    <w:uiPriority w:val="67"/>
    <w:pPr>
      <w:spacing w:after="0" w:line="240" w:lineRule="auto"/>
    </w:pPr>
    <w:tblPr>
      <w:tblBorders>
        <w:top w:val="single" w:color="EB7886" w:themeColor="accent6" w:themeTint="BF" w:sz="8" w:space="0"/>
        <w:left w:val="single" w:color="EB7886" w:themeColor="accent6" w:themeTint="BF" w:sz="8" w:space="0"/>
        <w:bottom w:val="single" w:color="EB7886" w:themeColor="accent6" w:themeTint="BF" w:sz="8" w:space="0"/>
        <w:right w:val="single" w:color="EB7886" w:themeColor="accent6" w:themeTint="BF" w:sz="8" w:space="0"/>
        <w:insideH w:val="single" w:color="EB7886" w:themeColor="accent6" w:themeTint="BF" w:sz="8" w:space="0"/>
        <w:insideV w:val="single" w:color="EB7886" w:themeColor="accent6" w:themeTint="BF" w:sz="8" w:space="0"/>
      </w:tblBorders>
      <w:tblCellMar>
        <w:top w:w="0" w:type="dxa"/>
        <w:left w:w="108" w:type="dxa"/>
        <w:bottom w:w="0" w:type="dxa"/>
        <w:right w:w="108" w:type="dxa"/>
      </w:tblCellMar>
    </w:tblPr>
    <w:tcPr>
      <w:shd w:val="clear" w:color="auto" w:fill="F8D2D7" w:themeFill="accent6" w:themeFillTint="3F"/>
    </w:tcPr>
    <w:tblStylePr w:type="firstRow">
      <w:rPr>
        <w:b/>
        <w:bCs/>
      </w:rPr>
    </w:tblStylePr>
    <w:tblStylePr w:type="lastRow">
      <w:rPr>
        <w:b/>
        <w:bCs/>
      </w:rPr>
      <w:tblPr/>
      <w:tcPr>
        <w:tcBorders>
          <w:top w:val="single" w:color="EB7886" w:themeColor="accent6" w:themeTint="BF" w:sz="18" w:space="0"/>
        </w:tcBorders>
      </w:tcPr>
    </w:tblStylePr>
    <w:tblStylePr w:type="firstCol">
      <w:rPr>
        <w:b/>
        <w:bCs/>
      </w:rPr>
    </w:tblStylePr>
    <w:tblStylePr w:type="lastCol">
      <w:rPr>
        <w:b/>
        <w:bCs/>
      </w:rPr>
    </w:tblStylePr>
    <w:tblStylePr w:type="band1Vert">
      <w:tblPr/>
      <w:tcPr>
        <w:shd w:val="clear" w:color="auto" w:fill="F2A5AE" w:themeFill="accent6" w:themeFillTint="7F"/>
      </w:tcPr>
    </w:tblStylePr>
    <w:tblStylePr w:type="band1Horz">
      <w:tblPr/>
      <w:tcPr>
        <w:shd w:val="clear" w:color="auto" w:fill="F2A5AE"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874CB" w:themeColor="accent1" w:sz="8" w:space="0"/>
        <w:left w:val="single" w:color="4874CB" w:themeColor="accent1" w:sz="8" w:space="0"/>
        <w:bottom w:val="single" w:color="4874CB" w:themeColor="accent1" w:sz="8" w:space="0"/>
        <w:right w:val="single" w:color="4874CB" w:themeColor="accent1" w:sz="8" w:space="0"/>
        <w:insideH w:val="single" w:color="4874CB" w:themeColor="accent1" w:sz="8" w:space="0"/>
        <w:insideV w:val="single" w:color="4874CB" w:themeColor="accent1" w:sz="8" w:space="0"/>
      </w:tblBorders>
      <w:tblCellMar>
        <w:top w:w="0" w:type="dxa"/>
        <w:left w:w="108" w:type="dxa"/>
        <w:bottom w:w="0" w:type="dxa"/>
        <w:right w:w="108" w:type="dxa"/>
      </w:tblCellMar>
    </w:tblPr>
    <w:tcPr>
      <w:shd w:val="clear" w:color="auto" w:fill="D1DCF2" w:themeFill="accent1" w:themeFillTint="3F"/>
    </w:tcPr>
    <w:tblStylePr w:type="firstRow">
      <w:rPr>
        <w:b/>
        <w:bCs/>
        <w:color w:val="000000" w:themeColor="text1"/>
        <w14:textFill>
          <w14:solidFill>
            <w14:schemeClr w14:val="tx1"/>
          </w14:solidFill>
        </w14:textFill>
      </w:rPr>
      <w:tblPr/>
      <w:tcPr>
        <w:shd w:val="clear" w:color="auto" w:fill="EDF1F9"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3F4" w:themeFill="accent1" w:themeFillTint="33"/>
      </w:tcPr>
    </w:tblStylePr>
    <w:tblStylePr w:type="band1Vert">
      <w:tblPr/>
      <w:tcPr>
        <w:shd w:val="clear" w:color="auto" w:fill="A3B9E5" w:themeFill="accent1" w:themeFillTint="7F"/>
      </w:tcPr>
    </w:tblStylePr>
    <w:tblStylePr w:type="band1Horz">
      <w:tblPr/>
      <w:tcPr>
        <w:tcBorders>
          <w:insideH w:val="single" w:sz="6" w:space="0"/>
          <w:insideV w:val="single" w:sz="6" w:space="0"/>
        </w:tcBorders>
        <w:shd w:val="clear" w:color="auto" w:fill="A3B9E5"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EE822F" w:themeColor="accent2" w:sz="8" w:space="0"/>
        <w:left w:val="single" w:color="EE822F" w:themeColor="accent2" w:sz="8" w:space="0"/>
        <w:bottom w:val="single" w:color="EE822F" w:themeColor="accent2" w:sz="8" w:space="0"/>
        <w:right w:val="single" w:color="EE822F" w:themeColor="accent2" w:sz="8" w:space="0"/>
        <w:insideH w:val="single" w:color="EE822F" w:themeColor="accent2" w:sz="8" w:space="0"/>
        <w:insideV w:val="single" w:color="EE822F" w:themeColor="accent2" w:sz="8" w:space="0"/>
      </w:tblBorders>
      <w:tblCellMar>
        <w:top w:w="0" w:type="dxa"/>
        <w:left w:w="108" w:type="dxa"/>
        <w:bottom w:w="0" w:type="dxa"/>
        <w:right w:w="108" w:type="dxa"/>
      </w:tblCellMar>
    </w:tblPr>
    <w:tcPr>
      <w:shd w:val="clear" w:color="auto" w:fill="FAE0CB"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5D5" w:themeFill="accent2" w:themeFillTint="33"/>
      </w:tcPr>
    </w:tblStylePr>
    <w:tblStylePr w:type="band1Vert">
      <w:tblPr/>
      <w:tcPr>
        <w:shd w:val="clear" w:color="auto" w:fill="F6C097" w:themeFill="accent2" w:themeFillTint="7F"/>
      </w:tcPr>
    </w:tblStylePr>
    <w:tblStylePr w:type="band1Horz">
      <w:tblPr/>
      <w:tcPr>
        <w:tcBorders>
          <w:insideH w:val="single" w:sz="6" w:space="0"/>
          <w:insideV w:val="single" w:sz="6" w:space="0"/>
        </w:tcBorders>
        <w:shd w:val="clear" w:color="auto" w:fill="F6C097"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2BA02" w:themeColor="accent3" w:sz="8" w:space="0"/>
        <w:left w:val="single" w:color="F2BA02" w:themeColor="accent3" w:sz="8" w:space="0"/>
        <w:bottom w:val="single" w:color="F2BA02" w:themeColor="accent3" w:sz="8" w:space="0"/>
        <w:right w:val="single" w:color="F2BA02" w:themeColor="accent3" w:sz="8" w:space="0"/>
        <w:insideH w:val="single" w:color="F2BA02" w:themeColor="accent3" w:sz="8" w:space="0"/>
        <w:insideV w:val="single" w:color="F2BA02" w:themeColor="accent3" w:sz="8" w:space="0"/>
      </w:tblBorders>
      <w:tblCellMar>
        <w:top w:w="0" w:type="dxa"/>
        <w:left w:w="108" w:type="dxa"/>
        <w:bottom w:w="0" w:type="dxa"/>
        <w:right w:w="108" w:type="dxa"/>
      </w:tblCellMar>
    </w:tblPr>
    <w:tcPr>
      <w:shd w:val="clear" w:color="auto" w:fill="FEEFBD" w:themeFill="accent3" w:themeFillTint="3F"/>
    </w:tcPr>
    <w:tblStylePr w:type="firstRow">
      <w:rPr>
        <w:b/>
        <w:bCs/>
        <w:color w:val="000000" w:themeColor="text1"/>
        <w14:textFill>
          <w14:solidFill>
            <w14:schemeClr w14:val="tx1"/>
          </w14:solidFill>
        </w14:textFill>
      </w:rPr>
      <w:tblPr/>
      <w:tcPr>
        <w:shd w:val="clear" w:color="auto" w:fill="FEF8E5"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A" w:themeFill="accent3" w:themeFillTint="33"/>
      </w:tcPr>
    </w:tblStylePr>
    <w:tblStylePr w:type="band1Vert">
      <w:tblPr/>
      <w:tcPr>
        <w:shd w:val="clear" w:color="auto" w:fill="FDDF7B" w:themeFill="accent3" w:themeFillTint="7F"/>
      </w:tcPr>
    </w:tblStylePr>
    <w:tblStylePr w:type="band1Horz">
      <w:tblPr/>
      <w:tcPr>
        <w:tcBorders>
          <w:insideH w:val="single" w:sz="6" w:space="0"/>
          <w:insideV w:val="single" w:sz="6" w:space="0"/>
        </w:tcBorders>
        <w:shd w:val="clear" w:color="auto" w:fill="FDDF7B"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75BD42" w:themeColor="accent4" w:sz="8" w:space="0"/>
        <w:left w:val="single" w:color="75BD42" w:themeColor="accent4" w:sz="8" w:space="0"/>
        <w:bottom w:val="single" w:color="75BD42" w:themeColor="accent4" w:sz="8" w:space="0"/>
        <w:right w:val="single" w:color="75BD42" w:themeColor="accent4" w:sz="8" w:space="0"/>
        <w:insideH w:val="single" w:color="75BD42" w:themeColor="accent4" w:sz="8" w:space="0"/>
        <w:insideV w:val="single" w:color="75BD42" w:themeColor="accent4" w:sz="8" w:space="0"/>
      </w:tblBorders>
      <w:tblCellMar>
        <w:top w:w="0" w:type="dxa"/>
        <w:left w:w="108" w:type="dxa"/>
        <w:bottom w:w="0" w:type="dxa"/>
        <w:right w:w="108" w:type="dxa"/>
      </w:tblCellMar>
    </w:tblPr>
    <w:tcPr>
      <w:shd w:val="clear" w:color="auto" w:fill="DCEED0" w:themeFill="accent4" w:themeFillTint="3F"/>
    </w:tcPr>
    <w:tblStylePr w:type="firstRow">
      <w:rPr>
        <w:b/>
        <w:bCs/>
        <w:color w:val="000000" w:themeColor="text1"/>
        <w14:textFill>
          <w14:solidFill>
            <w14:schemeClr w14:val="tx1"/>
          </w14:solidFill>
        </w14:textFill>
      </w:rPr>
      <w:tblPr/>
      <w:tcPr>
        <w:shd w:val="clear" w:color="auto" w:fill="F1F8EC"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3F1D9" w:themeFill="accent4" w:themeFillTint="33"/>
      </w:tcPr>
    </w:tblStylePr>
    <w:tblStylePr w:type="band1Vert">
      <w:tblPr/>
      <w:tcPr>
        <w:shd w:val="clear" w:color="auto" w:fill="BADEA0" w:themeFill="accent4" w:themeFillTint="7F"/>
      </w:tcPr>
    </w:tblStylePr>
    <w:tblStylePr w:type="band1Horz">
      <w:tblPr/>
      <w:tcPr>
        <w:tcBorders>
          <w:insideH w:val="single" w:sz="6" w:space="0"/>
          <w:insideV w:val="single" w:sz="6" w:space="0"/>
        </w:tcBorders>
        <w:shd w:val="clear" w:color="auto" w:fill="BADEA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30C0B4" w:themeColor="accent5" w:sz="8" w:space="0"/>
        <w:left w:val="single" w:color="30C0B4" w:themeColor="accent5" w:sz="8" w:space="0"/>
        <w:bottom w:val="single" w:color="30C0B4" w:themeColor="accent5" w:sz="8" w:space="0"/>
        <w:right w:val="single" w:color="30C0B4" w:themeColor="accent5" w:sz="8" w:space="0"/>
        <w:insideH w:val="single" w:color="30C0B4" w:themeColor="accent5" w:sz="8" w:space="0"/>
        <w:insideV w:val="single" w:color="30C0B4" w:themeColor="accent5" w:sz="8" w:space="0"/>
      </w:tblBorders>
      <w:tblCellMar>
        <w:top w:w="0" w:type="dxa"/>
        <w:left w:w="108" w:type="dxa"/>
        <w:bottom w:w="0" w:type="dxa"/>
        <w:right w:w="108" w:type="dxa"/>
      </w:tblCellMar>
    </w:tblPr>
    <w:tcPr>
      <w:shd w:val="clear" w:color="auto" w:fill="C9F1EE" w:themeFill="accent5" w:themeFillTint="3F"/>
    </w:tcPr>
    <w:tblStylePr w:type="firstRow">
      <w:rPr>
        <w:b/>
        <w:bCs/>
        <w:color w:val="000000" w:themeColor="text1"/>
        <w14:textFill>
          <w14:solidFill>
            <w14:schemeClr w14:val="tx1"/>
          </w14:solidFill>
        </w14:textFill>
      </w:rPr>
      <w:tblPr/>
      <w:tcPr>
        <w:shd w:val="clear" w:color="auto" w:fill="E9F9F8"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3F4F1" w:themeFill="accent5" w:themeFillTint="33"/>
      </w:tcPr>
    </w:tblStylePr>
    <w:tblStylePr w:type="band1Vert">
      <w:tblPr/>
      <w:tcPr>
        <w:shd w:val="clear" w:color="auto" w:fill="93E4DD" w:themeFill="accent5" w:themeFillTint="7F"/>
      </w:tcPr>
    </w:tblStylePr>
    <w:tblStylePr w:type="band1Horz">
      <w:tblPr/>
      <w:tcPr>
        <w:tcBorders>
          <w:insideH w:val="single" w:sz="6" w:space="0"/>
          <w:insideV w:val="single" w:sz="6" w:space="0"/>
        </w:tcBorders>
        <w:shd w:val="clear" w:color="auto" w:fill="93E4DD"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E54C5E" w:themeColor="accent6" w:sz="8" w:space="0"/>
        <w:left w:val="single" w:color="E54C5E" w:themeColor="accent6" w:sz="8" w:space="0"/>
        <w:bottom w:val="single" w:color="E54C5E" w:themeColor="accent6" w:sz="8" w:space="0"/>
        <w:right w:val="single" w:color="E54C5E" w:themeColor="accent6" w:sz="8" w:space="0"/>
        <w:insideH w:val="single" w:color="E54C5E" w:themeColor="accent6" w:sz="8" w:space="0"/>
        <w:insideV w:val="single" w:color="E54C5E" w:themeColor="accent6" w:sz="8" w:space="0"/>
      </w:tblBorders>
      <w:tblCellMar>
        <w:top w:w="0" w:type="dxa"/>
        <w:left w:w="108" w:type="dxa"/>
        <w:bottom w:w="0" w:type="dxa"/>
        <w:right w:w="108" w:type="dxa"/>
      </w:tblCellMar>
    </w:tblPr>
    <w:tcPr>
      <w:shd w:val="clear" w:color="auto" w:fill="F8D2D7" w:themeFill="accent6" w:themeFillTint="3F"/>
    </w:tcPr>
    <w:tblStylePr w:type="firstRow">
      <w:rPr>
        <w:b/>
        <w:bCs/>
        <w:color w:val="000000" w:themeColor="text1"/>
        <w14:textFill>
          <w14:solidFill>
            <w14:schemeClr w14:val="tx1"/>
          </w14:solidFill>
        </w14:textFill>
      </w:rPr>
      <w:tblPr/>
      <w:tcPr>
        <w:shd w:val="clear" w:color="auto" w:fill="FCEDEF"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9DBDE" w:themeFill="accent6" w:themeFillTint="33"/>
      </w:tcPr>
    </w:tblStylePr>
    <w:tblStylePr w:type="band1Vert">
      <w:tblPr/>
      <w:tcPr>
        <w:shd w:val="clear" w:color="auto" w:fill="F2A5AE" w:themeFill="accent6" w:themeFillTint="7F"/>
      </w:tcPr>
    </w:tblStylePr>
    <w:tblStylePr w:type="band1Horz">
      <w:tblPr/>
      <w:tcPr>
        <w:tcBorders>
          <w:insideH w:val="single" w:sz="6" w:space="0"/>
          <w:insideV w:val="single" w:sz="6" w:space="0"/>
        </w:tcBorders>
        <w:shd w:val="clear" w:color="auto" w:fill="F2A5AE"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1DCF2"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874CB"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874CB"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874CB"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874CB"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3B9E5"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3B9E5"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AE0CB"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E822F"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E822F"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E822F"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E822F"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C097"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C097"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EEFBD"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2BA02"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2BA02"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2BA02"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2BA02"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DDF7B"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DDF7B"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CEED0"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5BD4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5BD4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5BD4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5BD4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ADEA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ADEA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9F1EE"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30C0B4"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30C0B4"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30C0B4"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30C0B4"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3E4DD"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3E4DD"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8D2D7"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54C5E"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54C5E"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54C5E"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54C5E"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2A5AE"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2A5AE"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874CB"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376A"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D54A0"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D54A0" w:themeFill="accent1" w:themeFillShade="BF"/>
      </w:tcPr>
    </w:tblStylePr>
    <w:tblStylePr w:type="band1Vert">
      <w:tblPr/>
      <w:tcPr>
        <w:tcBorders>
          <w:top w:val="nil"/>
          <w:left w:val="nil"/>
          <w:bottom w:val="nil"/>
          <w:right w:val="nil"/>
          <w:insideH w:val="nil"/>
          <w:insideV w:val="nil"/>
        </w:tcBorders>
        <w:shd w:val="clear" w:color="auto" w:fill="2D54A0" w:themeFill="accent1" w:themeFillShade="BF"/>
      </w:tcPr>
    </w:tblStylePr>
    <w:tblStylePr w:type="band1Horz">
      <w:tblPr/>
      <w:tcPr>
        <w:tcBorders>
          <w:top w:val="nil"/>
          <w:left w:val="nil"/>
          <w:bottom w:val="nil"/>
          <w:right w:val="nil"/>
          <w:insideH w:val="nil"/>
          <w:insideV w:val="nil"/>
        </w:tcBorders>
        <w:shd w:val="clear" w:color="auto" w:fill="2D54A0"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EE822F"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33F0A"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E10"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E10" w:themeFill="accent2" w:themeFillShade="BF"/>
      </w:tcPr>
    </w:tblStylePr>
    <w:tblStylePr w:type="band1Vert">
      <w:tblPr/>
      <w:tcPr>
        <w:tcBorders>
          <w:top w:val="nil"/>
          <w:left w:val="nil"/>
          <w:bottom w:val="nil"/>
          <w:right w:val="nil"/>
          <w:insideH w:val="nil"/>
          <w:insideV w:val="nil"/>
        </w:tcBorders>
        <w:shd w:val="clear" w:color="auto" w:fill="C55E10" w:themeFill="accent2" w:themeFillShade="BF"/>
      </w:tcPr>
    </w:tblStylePr>
    <w:tblStylePr w:type="band1Horz">
      <w:tblPr/>
      <w:tcPr>
        <w:tcBorders>
          <w:top w:val="nil"/>
          <w:left w:val="nil"/>
          <w:bottom w:val="nil"/>
          <w:right w:val="nil"/>
          <w:insideH w:val="nil"/>
          <w:insideV w:val="nil"/>
        </w:tcBorders>
        <w:shd w:val="clear" w:color="auto" w:fill="C55E10"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2BA02"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85C00"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B58B01"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B58B01" w:themeFill="accent3" w:themeFillShade="BF"/>
      </w:tcPr>
    </w:tblStylePr>
    <w:tblStylePr w:type="band1Vert">
      <w:tblPr/>
      <w:tcPr>
        <w:tcBorders>
          <w:top w:val="nil"/>
          <w:left w:val="nil"/>
          <w:bottom w:val="nil"/>
          <w:right w:val="nil"/>
          <w:insideH w:val="nil"/>
          <w:insideV w:val="nil"/>
        </w:tcBorders>
        <w:shd w:val="clear" w:color="auto" w:fill="B58B01" w:themeFill="accent3" w:themeFillShade="BF"/>
      </w:tcPr>
    </w:tblStylePr>
    <w:tblStylePr w:type="band1Horz">
      <w:tblPr/>
      <w:tcPr>
        <w:tcBorders>
          <w:top w:val="nil"/>
          <w:left w:val="nil"/>
          <w:bottom w:val="nil"/>
          <w:right w:val="nil"/>
          <w:insideH w:val="nil"/>
          <w:insideV w:val="nil"/>
        </w:tcBorders>
        <w:shd w:val="clear" w:color="auto" w:fill="B58B01"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75BD4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A5E2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78D31"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78D31" w:themeFill="accent4" w:themeFillShade="BF"/>
      </w:tcPr>
    </w:tblStylePr>
    <w:tblStylePr w:type="band1Vert">
      <w:tblPr/>
      <w:tcPr>
        <w:tcBorders>
          <w:top w:val="nil"/>
          <w:left w:val="nil"/>
          <w:bottom w:val="nil"/>
          <w:right w:val="nil"/>
          <w:insideH w:val="nil"/>
          <w:insideV w:val="nil"/>
        </w:tcBorders>
        <w:shd w:val="clear" w:color="auto" w:fill="578D31" w:themeFill="accent4" w:themeFillShade="BF"/>
      </w:tcPr>
    </w:tblStylePr>
    <w:tblStylePr w:type="band1Horz">
      <w:tblPr/>
      <w:tcPr>
        <w:tcBorders>
          <w:top w:val="nil"/>
          <w:left w:val="nil"/>
          <w:bottom w:val="nil"/>
          <w:right w:val="nil"/>
          <w:insideH w:val="nil"/>
          <w:insideV w:val="nil"/>
        </w:tcBorders>
        <w:shd w:val="clear" w:color="auto" w:fill="578D31"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30C0B4"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75F59"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38F86"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38F86" w:themeFill="accent5" w:themeFillShade="BF"/>
      </w:tcPr>
    </w:tblStylePr>
    <w:tblStylePr w:type="band1Vert">
      <w:tblPr/>
      <w:tcPr>
        <w:tcBorders>
          <w:top w:val="nil"/>
          <w:left w:val="nil"/>
          <w:bottom w:val="nil"/>
          <w:right w:val="nil"/>
          <w:insideH w:val="nil"/>
          <w:insideV w:val="nil"/>
        </w:tcBorders>
        <w:shd w:val="clear" w:color="auto" w:fill="238F86" w:themeFill="accent5" w:themeFillShade="BF"/>
      </w:tcPr>
    </w:tblStylePr>
    <w:tblStylePr w:type="band1Horz">
      <w:tblPr/>
      <w:tcPr>
        <w:tcBorders>
          <w:top w:val="nil"/>
          <w:left w:val="nil"/>
          <w:bottom w:val="nil"/>
          <w:right w:val="nil"/>
          <w:insideH w:val="nil"/>
          <w:insideV w:val="nil"/>
        </w:tcBorders>
        <w:shd w:val="clear" w:color="auto" w:fill="238F86"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E54C5E"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41320"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C71C31"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C71C31" w:themeFill="accent6" w:themeFillShade="BF"/>
      </w:tcPr>
    </w:tblStylePr>
    <w:tblStylePr w:type="band1Vert">
      <w:tblPr/>
      <w:tcPr>
        <w:tcBorders>
          <w:top w:val="nil"/>
          <w:left w:val="nil"/>
          <w:bottom w:val="nil"/>
          <w:right w:val="nil"/>
          <w:insideH w:val="nil"/>
          <w:insideV w:val="nil"/>
        </w:tcBorders>
        <w:shd w:val="clear" w:color="auto" w:fill="C71C31" w:themeFill="accent6" w:themeFillShade="BF"/>
      </w:tcPr>
    </w:tblStylePr>
    <w:tblStylePr w:type="band1Horz">
      <w:tblPr/>
      <w:tcPr>
        <w:tcBorders>
          <w:top w:val="nil"/>
          <w:left w:val="nil"/>
          <w:bottom w:val="nil"/>
          <w:right w:val="nil"/>
          <w:insideH w:val="nil"/>
          <w:insideV w:val="nil"/>
        </w:tcBorders>
        <w:shd w:val="clear" w:color="auto" w:fill="C71C31"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EE822F"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EE822F"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EE822F" w:themeColor="accent2" w:sz="24" w:space="0"/>
        <w:left w:val="single" w:color="4874CB" w:themeColor="accent1" w:sz="4" w:space="0"/>
        <w:bottom w:val="single" w:color="4874CB" w:themeColor="accent1" w:sz="4" w:space="0"/>
        <w:right w:val="single" w:color="4874CB"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1F9" w:themeFill="accent1" w:themeFillTint="19"/>
    </w:tcPr>
    <w:tblStylePr w:type="firstRow">
      <w:rPr>
        <w:b/>
        <w:bCs/>
      </w:rPr>
      <w:tblPr/>
      <w:tcPr>
        <w:tcBorders>
          <w:top w:val="nil"/>
          <w:left w:val="nil"/>
          <w:bottom w:val="single" w:color="EE822F"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44380"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44380"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44380" w:themeFill="accent1" w:themeFillShade="99"/>
      </w:tcPr>
    </w:tblStylePr>
    <w:tblStylePr w:type="band1Vert">
      <w:tblPr/>
      <w:tcPr>
        <w:shd w:val="clear" w:color="auto" w:fill="B5C7EA" w:themeFill="accent1" w:themeFillTint="66"/>
      </w:tcPr>
    </w:tblStylePr>
    <w:tblStylePr w:type="band1Horz">
      <w:tblPr/>
      <w:tcPr>
        <w:shd w:val="clear" w:color="auto" w:fill="A3B9E5"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EE822F" w:themeColor="accent2" w:sz="24" w:space="0"/>
        <w:left w:val="single" w:color="EE822F" w:themeColor="accent2" w:sz="4" w:space="0"/>
        <w:bottom w:val="single" w:color="EE822F" w:themeColor="accent2" w:sz="4" w:space="0"/>
        <w:right w:val="single" w:color="EE822F"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color="EE822F"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E4B0C"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E4B0C"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E4B0C" w:themeFill="accent2" w:themeFillShade="99"/>
      </w:tcPr>
    </w:tblStylePr>
    <w:tblStylePr w:type="band1Vert">
      <w:tblPr/>
      <w:tcPr>
        <w:shd w:val="clear" w:color="auto" w:fill="F8CCAB" w:themeFill="accent2" w:themeFillTint="66"/>
      </w:tcPr>
    </w:tblStylePr>
    <w:tblStylePr w:type="band1Horz">
      <w:tblPr/>
      <w:tcPr>
        <w:shd w:val="clear" w:color="auto" w:fill="F6C097"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75BD42" w:themeColor="accent4" w:sz="24" w:space="0"/>
        <w:left w:val="single" w:color="F2BA02" w:themeColor="accent3" w:sz="4" w:space="0"/>
        <w:bottom w:val="single" w:color="F2BA02" w:themeColor="accent3" w:sz="4" w:space="0"/>
        <w:right w:val="single" w:color="F2BA02"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8E5" w:themeFill="accent3" w:themeFillTint="19"/>
    </w:tcPr>
    <w:tblStylePr w:type="firstRow">
      <w:rPr>
        <w:b/>
        <w:bCs/>
      </w:rPr>
      <w:tblPr/>
      <w:tcPr>
        <w:tcBorders>
          <w:top w:val="nil"/>
          <w:left w:val="nil"/>
          <w:bottom w:val="single" w:color="75BD4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16F01"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16F01"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16F01" w:themeFill="accent3" w:themeFillShade="99"/>
      </w:tcPr>
    </w:tblStylePr>
    <w:tblStylePr w:type="band1Vert">
      <w:tblPr/>
      <w:tcPr>
        <w:shd w:val="clear" w:color="auto" w:fill="FEE595" w:themeFill="accent3" w:themeFillTint="66"/>
      </w:tcPr>
    </w:tblStylePr>
    <w:tblStylePr w:type="band1Horz">
      <w:tblPr/>
      <w:tcPr>
        <w:shd w:val="clear" w:color="auto" w:fill="FDDF7B"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F2BA02" w:themeColor="accent3" w:sz="24" w:space="0"/>
        <w:left w:val="single" w:color="75BD42" w:themeColor="accent4" w:sz="4" w:space="0"/>
        <w:bottom w:val="single" w:color="75BD42" w:themeColor="accent4" w:sz="4" w:space="0"/>
        <w:right w:val="single" w:color="75BD4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1F8EC" w:themeFill="accent4" w:themeFillTint="19"/>
    </w:tcPr>
    <w:tblStylePr w:type="firstRow">
      <w:rPr>
        <w:b/>
        <w:bCs/>
      </w:rPr>
      <w:tblPr/>
      <w:tcPr>
        <w:tcBorders>
          <w:top w:val="nil"/>
          <w:left w:val="nil"/>
          <w:bottom w:val="single" w:color="F2BA02"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67127"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67127"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67127" w:themeFill="accent4" w:themeFillShade="99"/>
      </w:tcPr>
    </w:tblStylePr>
    <w:tblStylePr w:type="band1Vert">
      <w:tblPr/>
      <w:tcPr>
        <w:shd w:val="clear" w:color="auto" w:fill="C7E4B3" w:themeFill="accent4" w:themeFillTint="66"/>
      </w:tcPr>
    </w:tblStylePr>
    <w:tblStylePr w:type="band1Horz">
      <w:tblPr/>
      <w:tcPr>
        <w:shd w:val="clear" w:color="auto" w:fill="BADEA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E54C5E" w:themeColor="accent6" w:sz="24" w:space="0"/>
        <w:left w:val="single" w:color="30C0B4" w:themeColor="accent5" w:sz="4" w:space="0"/>
        <w:bottom w:val="single" w:color="30C0B4" w:themeColor="accent5" w:sz="4" w:space="0"/>
        <w:right w:val="single" w:color="30C0B4"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9F9F8" w:themeFill="accent5" w:themeFillTint="19"/>
    </w:tcPr>
    <w:tblStylePr w:type="firstRow">
      <w:rPr>
        <w:b/>
        <w:bCs/>
      </w:rPr>
      <w:tblPr/>
      <w:tcPr>
        <w:tcBorders>
          <w:top w:val="nil"/>
          <w:left w:val="nil"/>
          <w:bottom w:val="single" w:color="E54C5E"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1C736B"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1C736B"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1C736B" w:themeFill="accent5" w:themeFillShade="99"/>
      </w:tcPr>
    </w:tblStylePr>
    <w:tblStylePr w:type="band1Vert">
      <w:tblPr/>
      <w:tcPr>
        <w:shd w:val="clear" w:color="auto" w:fill="A8E9E3" w:themeFill="accent5" w:themeFillTint="66"/>
      </w:tcPr>
    </w:tblStylePr>
    <w:tblStylePr w:type="band1Horz">
      <w:tblPr/>
      <w:tcPr>
        <w:shd w:val="clear" w:color="auto" w:fill="93E4DD"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30C0B4" w:themeColor="accent5" w:sz="24" w:space="0"/>
        <w:left w:val="single" w:color="E54C5E" w:themeColor="accent6" w:sz="4" w:space="0"/>
        <w:bottom w:val="single" w:color="E54C5E" w:themeColor="accent6" w:sz="4" w:space="0"/>
        <w:right w:val="single" w:color="E54C5E"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CEDEF" w:themeFill="accent6" w:themeFillTint="19"/>
    </w:tcPr>
    <w:tblStylePr w:type="firstRow">
      <w:rPr>
        <w:b/>
        <w:bCs/>
      </w:rPr>
      <w:tblPr/>
      <w:tcPr>
        <w:tcBorders>
          <w:top w:val="nil"/>
          <w:left w:val="nil"/>
          <w:bottom w:val="single" w:color="30C0B4"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F172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F172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F1727" w:themeFill="accent6" w:themeFillShade="99"/>
      </w:tcPr>
    </w:tblStylePr>
    <w:tblStylePr w:type="band1Vert">
      <w:tblPr/>
      <w:tcPr>
        <w:shd w:val="clear" w:color="auto" w:fill="F4B7BE" w:themeFill="accent6" w:themeFillTint="66"/>
      </w:tcPr>
    </w:tblStylePr>
    <w:tblStylePr w:type="band1Horz">
      <w:tblPr/>
      <w:tcPr>
        <w:shd w:val="clear" w:color="auto" w:fill="F2A5AE"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511" w:themeFill="accent2" w:themeFillShade="CC"/>
      </w:tcPr>
    </w:tblStylePr>
    <w:tblStylePr w:type="lastRow">
      <w:rPr>
        <w:b/>
        <w:bCs/>
        <w:color w:val="D36511"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1F9"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511" w:themeFill="accent2" w:themeFillShade="CC"/>
      </w:tcPr>
    </w:tblStylePr>
    <w:tblStylePr w:type="lastRow">
      <w:rPr>
        <w:b/>
        <w:bCs/>
        <w:color w:val="D36511"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CF2" w:themeFill="accent1" w:themeFillTint="3F"/>
      </w:tcPr>
    </w:tblStylePr>
    <w:tblStylePr w:type="band1Horz">
      <w:tblPr/>
      <w:tcPr>
        <w:shd w:val="clear" w:color="auto" w:fill="DAE3F4"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511" w:themeFill="accent2" w:themeFillShade="CC"/>
      </w:tcPr>
    </w:tblStylePr>
    <w:tblStylePr w:type="lastRow">
      <w:rPr>
        <w:b/>
        <w:bCs/>
        <w:color w:val="D36511"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0CB" w:themeFill="accent2" w:themeFillTint="3F"/>
      </w:tcPr>
    </w:tblStylePr>
    <w:tblStylePr w:type="band1Horz">
      <w:tblPr/>
      <w:tcPr>
        <w:shd w:val="clear" w:color="auto" w:fill="FBE5D5"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8E5"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D9734" w:themeFill="accent4" w:themeFillShade="CC"/>
      </w:tcPr>
    </w:tblStylePr>
    <w:tblStylePr w:type="lastRow">
      <w:rPr>
        <w:b/>
        <w:bCs/>
        <w:color w:val="5E9735"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FBD" w:themeFill="accent3" w:themeFillTint="3F"/>
      </w:tcPr>
    </w:tblStylePr>
    <w:tblStylePr w:type="band1Horz">
      <w:tblPr/>
      <w:tcPr>
        <w:shd w:val="clear" w:color="auto" w:fill="FEF2CA"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1F8EC"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19401" w:themeFill="accent3" w:themeFillShade="CC"/>
      </w:tcPr>
    </w:tblStylePr>
    <w:tblStylePr w:type="lastRow">
      <w:rPr>
        <w:b/>
        <w:bCs/>
        <w:color w:val="C29502"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ED0" w:themeFill="accent4" w:themeFillTint="3F"/>
      </w:tcPr>
    </w:tblStylePr>
    <w:tblStylePr w:type="band1Horz">
      <w:tblPr/>
      <w:tcPr>
        <w:shd w:val="clear" w:color="auto" w:fill="E3F1D9"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9F9F8"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51E34" w:themeFill="accent6" w:themeFillShade="CC"/>
      </w:tcPr>
    </w:tblStylePr>
    <w:tblStylePr w:type="lastRow">
      <w:rPr>
        <w:b/>
        <w:bCs/>
        <w:color w:val="D51F34"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F1EE" w:themeFill="accent5" w:themeFillTint="3F"/>
      </w:tcPr>
    </w:tblStylePr>
    <w:tblStylePr w:type="band1Horz">
      <w:tblPr/>
      <w:tcPr>
        <w:shd w:val="clear" w:color="auto" w:fill="D3F4F1"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CEDEF"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26998F" w:themeFill="accent5" w:themeFillShade="CC"/>
      </w:tcPr>
    </w:tblStylePr>
    <w:tblStylePr w:type="lastRow">
      <w:rPr>
        <w:b/>
        <w:bCs/>
        <w:color w:val="269A90"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2D7" w:themeFill="accent6" w:themeFillTint="3F"/>
      </w:tcPr>
    </w:tblStylePr>
    <w:tblStylePr w:type="band1Horz">
      <w:tblPr/>
      <w:tcPr>
        <w:shd w:val="clear" w:color="auto" w:fill="F9DBDE"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3F4" w:themeFill="accent1" w:themeFillTint="33"/>
    </w:tcPr>
    <w:tblStylePr w:type="firstRow">
      <w:rPr>
        <w:b/>
        <w:bCs/>
      </w:rPr>
      <w:tblPr/>
      <w:tcPr>
        <w:shd w:val="clear" w:color="auto" w:fill="B5C7EA" w:themeFill="accent1" w:themeFillTint="66"/>
      </w:tcPr>
    </w:tblStylePr>
    <w:tblStylePr w:type="lastRow">
      <w:rPr>
        <w:b/>
        <w:bCs/>
        <w:color w:val="000000" w:themeColor="text1"/>
        <w14:textFill>
          <w14:solidFill>
            <w14:schemeClr w14:val="tx1"/>
          </w14:solidFill>
        </w14:textFill>
      </w:rPr>
      <w:tblPr/>
      <w:tcPr>
        <w:shd w:val="clear" w:color="auto" w:fill="B5C7EA" w:themeFill="accent1" w:themeFillTint="66"/>
      </w:tcPr>
    </w:tblStylePr>
    <w:tblStylePr w:type="firstCol">
      <w:rPr>
        <w:color w:val="FFFFFF" w:themeColor="background1"/>
        <w14:textFill>
          <w14:solidFill>
            <w14:schemeClr w14:val="bg1"/>
          </w14:solidFill>
        </w14:textFill>
      </w:rPr>
      <w:tblPr/>
      <w:tcPr>
        <w:shd w:val="clear" w:color="auto" w:fill="2D54A0" w:themeFill="accent1" w:themeFillShade="BF"/>
      </w:tcPr>
    </w:tblStylePr>
    <w:tblStylePr w:type="lastCol">
      <w:rPr>
        <w:color w:val="FFFFFF" w:themeColor="background1"/>
        <w14:textFill>
          <w14:solidFill>
            <w14:schemeClr w14:val="bg1"/>
          </w14:solidFill>
        </w14:textFill>
      </w:rPr>
      <w:tblPr/>
      <w:tcPr>
        <w:shd w:val="clear" w:color="auto" w:fill="2D54A0" w:themeFill="accent1" w:themeFillShade="BF"/>
      </w:tcPr>
    </w:tblStylePr>
    <w:tblStylePr w:type="band1Vert">
      <w:tblPr/>
      <w:tcPr>
        <w:shd w:val="clear" w:color="auto" w:fill="A3B9E5" w:themeFill="accent1" w:themeFillTint="7F"/>
      </w:tcPr>
    </w:tblStylePr>
    <w:tblStylePr w:type="band1Horz">
      <w:tblPr/>
      <w:tcPr>
        <w:shd w:val="clear" w:color="auto" w:fill="A3B9E5"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BE5D5" w:themeFill="accent2" w:themeFillTint="33"/>
    </w:tcPr>
    <w:tblStylePr w:type="firstRow">
      <w:rPr>
        <w:b/>
        <w:bCs/>
      </w:rPr>
      <w:tblPr/>
      <w:tcPr>
        <w:shd w:val="clear" w:color="auto" w:fill="F8CCAB" w:themeFill="accent2" w:themeFillTint="66"/>
      </w:tcPr>
    </w:tblStylePr>
    <w:tblStylePr w:type="lastRow">
      <w:rPr>
        <w:b/>
        <w:bCs/>
        <w:color w:val="000000" w:themeColor="text1"/>
        <w14:textFill>
          <w14:solidFill>
            <w14:schemeClr w14:val="tx1"/>
          </w14:solidFill>
        </w14:textFill>
      </w:rPr>
      <w:tblPr/>
      <w:tcPr>
        <w:shd w:val="clear" w:color="auto" w:fill="F8CCAB" w:themeFill="accent2" w:themeFillTint="66"/>
      </w:tcPr>
    </w:tblStylePr>
    <w:tblStylePr w:type="firstCol">
      <w:rPr>
        <w:color w:val="FFFFFF" w:themeColor="background1"/>
        <w14:textFill>
          <w14:solidFill>
            <w14:schemeClr w14:val="bg1"/>
          </w14:solidFill>
        </w14:textFill>
      </w:rPr>
      <w:tblPr/>
      <w:tcPr>
        <w:shd w:val="clear" w:color="auto" w:fill="C55E10" w:themeFill="accent2" w:themeFillShade="BF"/>
      </w:tcPr>
    </w:tblStylePr>
    <w:tblStylePr w:type="lastCol">
      <w:rPr>
        <w:color w:val="FFFFFF" w:themeColor="background1"/>
        <w14:textFill>
          <w14:solidFill>
            <w14:schemeClr w14:val="bg1"/>
          </w14:solidFill>
        </w14:textFill>
      </w:rPr>
      <w:tblPr/>
      <w:tcPr>
        <w:shd w:val="clear" w:color="auto" w:fill="C55E10" w:themeFill="accent2" w:themeFillShade="BF"/>
      </w:tcPr>
    </w:tblStylePr>
    <w:tblStylePr w:type="band1Vert">
      <w:tblPr/>
      <w:tcPr>
        <w:shd w:val="clear" w:color="auto" w:fill="F6C097" w:themeFill="accent2" w:themeFillTint="7F"/>
      </w:tcPr>
    </w:tblStylePr>
    <w:tblStylePr w:type="band1Horz">
      <w:tblPr/>
      <w:tcPr>
        <w:shd w:val="clear" w:color="auto" w:fill="F6C097"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EF2CA" w:themeFill="accent3" w:themeFillTint="33"/>
    </w:tcPr>
    <w:tblStylePr w:type="firstRow">
      <w:rPr>
        <w:b/>
        <w:bCs/>
      </w:rPr>
      <w:tblPr/>
      <w:tcPr>
        <w:shd w:val="clear" w:color="auto" w:fill="FEE595" w:themeFill="accent3" w:themeFillTint="66"/>
      </w:tcPr>
    </w:tblStylePr>
    <w:tblStylePr w:type="lastRow">
      <w:rPr>
        <w:b/>
        <w:bCs/>
        <w:color w:val="000000" w:themeColor="text1"/>
        <w14:textFill>
          <w14:solidFill>
            <w14:schemeClr w14:val="tx1"/>
          </w14:solidFill>
        </w14:textFill>
      </w:rPr>
      <w:tblPr/>
      <w:tcPr>
        <w:shd w:val="clear" w:color="auto" w:fill="FEE595" w:themeFill="accent3" w:themeFillTint="66"/>
      </w:tcPr>
    </w:tblStylePr>
    <w:tblStylePr w:type="firstCol">
      <w:rPr>
        <w:color w:val="FFFFFF" w:themeColor="background1"/>
        <w14:textFill>
          <w14:solidFill>
            <w14:schemeClr w14:val="bg1"/>
          </w14:solidFill>
        </w14:textFill>
      </w:rPr>
      <w:tblPr/>
      <w:tcPr>
        <w:shd w:val="clear" w:color="auto" w:fill="B58B01" w:themeFill="accent3" w:themeFillShade="BF"/>
      </w:tcPr>
    </w:tblStylePr>
    <w:tblStylePr w:type="lastCol">
      <w:rPr>
        <w:color w:val="FFFFFF" w:themeColor="background1"/>
        <w14:textFill>
          <w14:solidFill>
            <w14:schemeClr w14:val="bg1"/>
          </w14:solidFill>
        </w14:textFill>
      </w:rPr>
      <w:tblPr/>
      <w:tcPr>
        <w:shd w:val="clear" w:color="auto" w:fill="B58B01" w:themeFill="accent3" w:themeFillShade="BF"/>
      </w:tcPr>
    </w:tblStylePr>
    <w:tblStylePr w:type="band1Vert">
      <w:tblPr/>
      <w:tcPr>
        <w:shd w:val="clear" w:color="auto" w:fill="FDDF7B" w:themeFill="accent3" w:themeFillTint="7F"/>
      </w:tcPr>
    </w:tblStylePr>
    <w:tblStylePr w:type="band1Horz">
      <w:tblPr/>
      <w:tcPr>
        <w:shd w:val="clear" w:color="auto" w:fill="FDDF7B"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3F1D9" w:themeFill="accent4" w:themeFillTint="33"/>
    </w:tcPr>
    <w:tblStylePr w:type="firstRow">
      <w:rPr>
        <w:b/>
        <w:bCs/>
      </w:rPr>
      <w:tblPr/>
      <w:tcPr>
        <w:shd w:val="clear" w:color="auto" w:fill="C7E4B3" w:themeFill="accent4" w:themeFillTint="66"/>
      </w:tcPr>
    </w:tblStylePr>
    <w:tblStylePr w:type="lastRow">
      <w:rPr>
        <w:b/>
        <w:bCs/>
        <w:color w:val="000000" w:themeColor="text1"/>
        <w14:textFill>
          <w14:solidFill>
            <w14:schemeClr w14:val="tx1"/>
          </w14:solidFill>
        </w14:textFill>
      </w:rPr>
      <w:tblPr/>
      <w:tcPr>
        <w:shd w:val="clear" w:color="auto" w:fill="C7E4B3" w:themeFill="accent4" w:themeFillTint="66"/>
      </w:tcPr>
    </w:tblStylePr>
    <w:tblStylePr w:type="firstCol">
      <w:rPr>
        <w:color w:val="FFFFFF" w:themeColor="background1"/>
        <w14:textFill>
          <w14:solidFill>
            <w14:schemeClr w14:val="bg1"/>
          </w14:solidFill>
        </w14:textFill>
      </w:rPr>
      <w:tblPr/>
      <w:tcPr>
        <w:shd w:val="clear" w:color="auto" w:fill="578D31" w:themeFill="accent4" w:themeFillShade="BF"/>
      </w:tcPr>
    </w:tblStylePr>
    <w:tblStylePr w:type="lastCol">
      <w:rPr>
        <w:color w:val="FFFFFF" w:themeColor="background1"/>
        <w14:textFill>
          <w14:solidFill>
            <w14:schemeClr w14:val="bg1"/>
          </w14:solidFill>
        </w14:textFill>
      </w:rPr>
      <w:tblPr/>
      <w:tcPr>
        <w:shd w:val="clear" w:color="auto" w:fill="578D31" w:themeFill="accent4" w:themeFillShade="BF"/>
      </w:tcPr>
    </w:tblStylePr>
    <w:tblStylePr w:type="band1Vert">
      <w:tblPr/>
      <w:tcPr>
        <w:shd w:val="clear" w:color="auto" w:fill="BADEA0" w:themeFill="accent4" w:themeFillTint="7F"/>
      </w:tcPr>
    </w:tblStylePr>
    <w:tblStylePr w:type="band1Horz">
      <w:tblPr/>
      <w:tcPr>
        <w:shd w:val="clear" w:color="auto" w:fill="BADEA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3F4F1" w:themeFill="accent5" w:themeFillTint="33"/>
    </w:tcPr>
    <w:tblStylePr w:type="firstRow">
      <w:rPr>
        <w:b/>
        <w:bCs/>
      </w:rPr>
      <w:tblPr/>
      <w:tcPr>
        <w:shd w:val="clear" w:color="auto" w:fill="A8E9E3" w:themeFill="accent5" w:themeFillTint="66"/>
      </w:tcPr>
    </w:tblStylePr>
    <w:tblStylePr w:type="lastRow">
      <w:rPr>
        <w:b/>
        <w:bCs/>
        <w:color w:val="000000" w:themeColor="text1"/>
        <w14:textFill>
          <w14:solidFill>
            <w14:schemeClr w14:val="tx1"/>
          </w14:solidFill>
        </w14:textFill>
      </w:rPr>
      <w:tblPr/>
      <w:tcPr>
        <w:shd w:val="clear" w:color="auto" w:fill="A8E9E3" w:themeFill="accent5" w:themeFillTint="66"/>
      </w:tcPr>
    </w:tblStylePr>
    <w:tblStylePr w:type="firstCol">
      <w:rPr>
        <w:color w:val="FFFFFF" w:themeColor="background1"/>
        <w14:textFill>
          <w14:solidFill>
            <w14:schemeClr w14:val="bg1"/>
          </w14:solidFill>
        </w14:textFill>
      </w:rPr>
      <w:tblPr/>
      <w:tcPr>
        <w:shd w:val="clear" w:color="auto" w:fill="238F86" w:themeFill="accent5" w:themeFillShade="BF"/>
      </w:tcPr>
    </w:tblStylePr>
    <w:tblStylePr w:type="lastCol">
      <w:rPr>
        <w:color w:val="FFFFFF" w:themeColor="background1"/>
        <w14:textFill>
          <w14:solidFill>
            <w14:schemeClr w14:val="bg1"/>
          </w14:solidFill>
        </w14:textFill>
      </w:rPr>
      <w:tblPr/>
      <w:tcPr>
        <w:shd w:val="clear" w:color="auto" w:fill="238F86" w:themeFill="accent5" w:themeFillShade="BF"/>
      </w:tcPr>
    </w:tblStylePr>
    <w:tblStylePr w:type="band1Vert">
      <w:tblPr/>
      <w:tcPr>
        <w:shd w:val="clear" w:color="auto" w:fill="93E4DD" w:themeFill="accent5" w:themeFillTint="7F"/>
      </w:tcPr>
    </w:tblStylePr>
    <w:tblStylePr w:type="band1Horz">
      <w:tblPr/>
      <w:tcPr>
        <w:shd w:val="clear" w:color="auto" w:fill="93E4DD"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9DBDE" w:themeFill="accent6" w:themeFillTint="33"/>
    </w:tcPr>
    <w:tblStylePr w:type="firstRow">
      <w:rPr>
        <w:b/>
        <w:bCs/>
      </w:rPr>
      <w:tblPr/>
      <w:tcPr>
        <w:shd w:val="clear" w:color="auto" w:fill="F4B7BE" w:themeFill="accent6" w:themeFillTint="66"/>
      </w:tcPr>
    </w:tblStylePr>
    <w:tblStylePr w:type="lastRow">
      <w:rPr>
        <w:b/>
        <w:bCs/>
        <w:color w:val="000000" w:themeColor="text1"/>
        <w14:textFill>
          <w14:solidFill>
            <w14:schemeClr w14:val="tx1"/>
          </w14:solidFill>
        </w14:textFill>
      </w:rPr>
      <w:tblPr/>
      <w:tcPr>
        <w:shd w:val="clear" w:color="auto" w:fill="F4B7BE" w:themeFill="accent6" w:themeFillTint="66"/>
      </w:tcPr>
    </w:tblStylePr>
    <w:tblStylePr w:type="firstCol">
      <w:rPr>
        <w:color w:val="FFFFFF" w:themeColor="background1"/>
        <w14:textFill>
          <w14:solidFill>
            <w14:schemeClr w14:val="bg1"/>
          </w14:solidFill>
        </w14:textFill>
      </w:rPr>
      <w:tblPr/>
      <w:tcPr>
        <w:shd w:val="clear" w:color="auto" w:fill="C71C31" w:themeFill="accent6" w:themeFillShade="BF"/>
      </w:tcPr>
    </w:tblStylePr>
    <w:tblStylePr w:type="lastCol">
      <w:rPr>
        <w:color w:val="FFFFFF" w:themeColor="background1"/>
        <w14:textFill>
          <w14:solidFill>
            <w14:schemeClr w14:val="bg1"/>
          </w14:solidFill>
        </w14:textFill>
      </w:rPr>
      <w:tblPr/>
      <w:tcPr>
        <w:shd w:val="clear" w:color="auto" w:fill="C71C31" w:themeFill="accent6" w:themeFillShade="BF"/>
      </w:tcPr>
    </w:tblStylePr>
    <w:tblStylePr w:type="band1Vert">
      <w:tblPr/>
      <w:tcPr>
        <w:shd w:val="clear" w:color="auto" w:fill="F2A5AE" w:themeFill="accent6" w:themeFillTint="7F"/>
      </w:tcPr>
    </w:tblStylePr>
    <w:tblStylePr w:type="band1Horz">
      <w:tblPr/>
      <w:tcPr>
        <w:shd w:val="clear" w:color="auto" w:fill="F2A5AE" w:themeFill="accent6" w:themeFillTint="7F"/>
      </w:tcPr>
    </w:tblStylePr>
  </w:style>
  <w:style w:type="character" w:styleId="133">
    <w:name w:val="Strong"/>
    <w:basedOn w:val="139"/>
    <w:qFormat/>
    <w:uiPriority w:val="22"/>
    <w:rPr>
      <w:b/>
      <w:bCs/>
    </w:rPr>
  </w:style>
  <w:style w:type="character" w:styleId="134">
    <w:name w:val="Emphasis"/>
    <w:basedOn w:val="139"/>
    <w:qFormat/>
    <w:uiPriority w:val="20"/>
    <w:rPr>
      <w:i/>
      <w:iCs/>
    </w:rPr>
  </w:style>
  <w:style w:type="character" w:customStyle="1" w:styleId="135">
    <w:name w:val="Header Char"/>
    <w:basedOn w:val="139"/>
    <w:link w:val="25"/>
    <w:uiPriority w:val="99"/>
  </w:style>
  <w:style w:type="character" w:customStyle="1" w:styleId="136">
    <w:name w:val="Footer Char"/>
    <w:basedOn w:val="139"/>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9"/>
    <w:link w:val="3"/>
    <w:uiPriority w:val="9"/>
    <w:rPr>
      <w:rFonts w:ascii="Times New Roman" w:hAnsi="Times New Roman" w:eastAsia="黑体" w:cs="Times New Roman"/>
      <w:color w:val="000000"/>
      <w:kern w:val="44"/>
      <w:sz w:val="32"/>
      <w:szCs w:val="44"/>
    </w:rPr>
  </w:style>
  <w:style w:type="character" w:customStyle="1" w:styleId="140">
    <w:name w:val="Heading 2 Char"/>
    <w:basedOn w:val="139"/>
    <w:uiPriority w:val="9"/>
    <w:rPr>
      <w:rFonts w:asciiTheme="majorHAnsi" w:hAnsiTheme="majorHAnsi" w:eastAsiaTheme="majorEastAsia" w:cstheme="majorBidi"/>
      <w:b/>
      <w:bCs/>
      <w:color w:val="4874CB" w:themeColor="accent1"/>
      <w:sz w:val="26"/>
      <w:szCs w:val="26"/>
      <w14:textFill>
        <w14:solidFill>
          <w14:schemeClr w14:val="accent1"/>
        </w14:solidFill>
      </w14:textFill>
    </w:rPr>
  </w:style>
  <w:style w:type="character" w:customStyle="1" w:styleId="141">
    <w:name w:val="Heading 3 Char"/>
    <w:basedOn w:val="139"/>
    <w:uiPriority w:val="9"/>
    <w:rPr>
      <w:rFonts w:asciiTheme="majorHAnsi" w:hAnsiTheme="majorHAnsi" w:eastAsiaTheme="majorEastAsia" w:cstheme="majorBidi"/>
      <w:b/>
      <w:bCs/>
      <w:color w:val="4874CB" w:themeColor="accent1"/>
      <w14:textFill>
        <w14:solidFill>
          <w14:schemeClr w14:val="accent1"/>
        </w14:solidFill>
      </w14:textFill>
    </w:rPr>
  </w:style>
  <w:style w:type="character" w:customStyle="1" w:styleId="142">
    <w:name w:val="Title Char"/>
    <w:basedOn w:val="139"/>
    <w:uiPriority w:val="10"/>
    <w:rPr>
      <w:rFonts w:asciiTheme="majorHAnsi" w:hAnsiTheme="majorHAnsi" w:eastAsiaTheme="majorEastAsia" w:cstheme="majorBidi"/>
      <w:color w:val="333F50" w:themeColor="text2" w:themeShade="BF"/>
      <w:spacing w:val="5"/>
      <w:kern w:val="28"/>
      <w:sz w:val="52"/>
      <w:szCs w:val="52"/>
    </w:rPr>
  </w:style>
  <w:style w:type="character" w:customStyle="1" w:styleId="143">
    <w:name w:val="Subtitle Char"/>
    <w:basedOn w:val="139"/>
    <w:uiPriority w:val="11"/>
    <w:rPr>
      <w:rFonts w:asciiTheme="majorHAnsi" w:hAnsiTheme="majorHAnsi" w:eastAsiaTheme="majorEastAsia" w:cstheme="majorBidi"/>
      <w:i/>
      <w:iCs/>
      <w:color w:val="4874CB"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9"/>
    <w:uiPriority w:val="99"/>
  </w:style>
  <w:style w:type="character" w:customStyle="1" w:styleId="146">
    <w:name w:val="Body Text 2 Char"/>
    <w:basedOn w:val="139"/>
    <w:link w:val="28"/>
    <w:uiPriority w:val="99"/>
  </w:style>
  <w:style w:type="character" w:customStyle="1" w:styleId="147">
    <w:name w:val="Body Text 3 Char"/>
    <w:basedOn w:val="139"/>
    <w:link w:val="17"/>
    <w:uiPriority w:val="99"/>
    <w:rPr>
      <w:sz w:val="16"/>
      <w:szCs w:val="16"/>
    </w:rPr>
  </w:style>
  <w:style w:type="character" w:customStyle="1" w:styleId="148">
    <w:name w:val="Macro Text Char"/>
    <w:basedOn w:val="139"/>
    <w:link w:val="2"/>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9"/>
    <w:link w:val="149"/>
    <w:uiPriority w:val="29"/>
    <w:rPr>
      <w:i/>
      <w:iCs/>
      <w:color w:val="000000" w:themeColor="text1"/>
      <w14:textFill>
        <w14:solidFill>
          <w14:schemeClr w14:val="tx1"/>
        </w14:solidFill>
      </w14:textFill>
    </w:rPr>
  </w:style>
  <w:style w:type="character" w:customStyle="1" w:styleId="151">
    <w:name w:val="Heading 4 Char"/>
    <w:basedOn w:val="139"/>
    <w:link w:val="6"/>
    <w:semiHidden/>
    <w:uiPriority w:val="9"/>
    <w:rPr>
      <w:rFonts w:ascii="Times New Roman" w:hAnsi="Times New Roman" w:eastAsia="黑体" w:cs="Times New Roman"/>
      <w:bCs/>
      <w:kern w:val="2"/>
      <w:sz w:val="28"/>
      <w:szCs w:val="28"/>
    </w:rPr>
  </w:style>
  <w:style w:type="character" w:customStyle="1" w:styleId="152">
    <w:name w:val="Heading 5 Char"/>
    <w:basedOn w:val="139"/>
    <w:link w:val="7"/>
    <w:semiHidden/>
    <w:uiPriority w:val="9"/>
    <w:rPr>
      <w:rFonts w:ascii="Times New Roman" w:hAnsi="Times New Roman" w:eastAsia="黑体" w:cs="Times New Roman"/>
      <w:bCs/>
      <w:kern w:val="2"/>
      <w:sz w:val="28"/>
      <w:szCs w:val="28"/>
    </w:rPr>
  </w:style>
  <w:style w:type="character" w:customStyle="1" w:styleId="153">
    <w:name w:val="Heading 6 Char"/>
    <w:basedOn w:val="139"/>
    <w:link w:val="8"/>
    <w:semiHidden/>
    <w:uiPriority w:val="9"/>
    <w:rPr>
      <w:rFonts w:ascii="Times New Roman" w:hAnsi="Times New Roman" w:eastAsia="黑体" w:cs="Times New Roman"/>
      <w:bCs/>
      <w:kern w:val="2"/>
      <w:sz w:val="28"/>
      <w:szCs w:val="24"/>
    </w:rPr>
  </w:style>
  <w:style w:type="character" w:customStyle="1" w:styleId="154">
    <w:name w:val="Heading 7 Char"/>
    <w:basedOn w:val="139"/>
    <w:link w:val="9"/>
    <w:semiHidden/>
    <w:uiPriority w:val="9"/>
    <w:rPr>
      <w:rFonts w:ascii="Times New Roman" w:hAnsi="Times New Roman" w:eastAsia="黑体" w:cs="Times New Roman"/>
      <w:bCs/>
      <w:kern w:val="2"/>
      <w:sz w:val="24"/>
      <w:szCs w:val="24"/>
    </w:rPr>
  </w:style>
  <w:style w:type="character" w:customStyle="1" w:styleId="155">
    <w:name w:val="Heading 8 Char"/>
    <w:basedOn w:val="139"/>
    <w:link w:val="10"/>
    <w:semiHidden/>
    <w:uiPriority w:val="9"/>
    <w:rPr>
      <w:rFonts w:ascii="Times New Roman" w:hAnsi="Times New Roman" w:eastAsia="黑体" w:cs="Times New Roman"/>
      <w:kern w:val="2"/>
      <w:sz w:val="24"/>
      <w:szCs w:val="24"/>
    </w:rPr>
  </w:style>
  <w:style w:type="character" w:customStyle="1" w:styleId="156">
    <w:name w:val="Heading 9 Char"/>
    <w:basedOn w:val="139"/>
    <w:link w:val="11"/>
    <w:semiHidden/>
    <w:uiPriority w:val="9"/>
    <w:rPr>
      <w:rFonts w:ascii="Times New Roman" w:hAnsi="Times New Roman" w:eastAsia="黑体" w:cs="Times New Roman"/>
      <w:kern w:val="2"/>
      <w:sz w:val="21"/>
      <w:szCs w:val="21"/>
    </w:rPr>
  </w:style>
  <w:style w:type="paragraph" w:styleId="157">
    <w:name w:val="Intense Quote"/>
    <w:basedOn w:val="1"/>
    <w:next w:val="1"/>
    <w:link w:val="158"/>
    <w:qFormat/>
    <w:uiPriority w:val="30"/>
    <w:pPr>
      <w:pBdr>
        <w:bottom w:val="single" w:color="4874CB" w:themeColor="accent1" w:sz="4" w:space="4"/>
      </w:pBdr>
      <w:spacing w:before="200" w:after="280"/>
      <w:ind w:left="936" w:right="936"/>
    </w:pPr>
    <w:rPr>
      <w:b/>
      <w:bCs/>
      <w:i/>
      <w:iCs/>
      <w:color w:val="4874CB" w:themeColor="accent1"/>
      <w14:textFill>
        <w14:solidFill>
          <w14:schemeClr w14:val="accent1"/>
        </w14:solidFill>
      </w14:textFill>
    </w:rPr>
  </w:style>
  <w:style w:type="character" w:customStyle="1" w:styleId="158">
    <w:name w:val="Intense Quote Char"/>
    <w:basedOn w:val="139"/>
    <w:link w:val="157"/>
    <w:uiPriority w:val="30"/>
    <w:rPr>
      <w:b/>
      <w:bCs/>
      <w:i/>
      <w:iCs/>
      <w:color w:val="4874CB" w:themeColor="accent1"/>
      <w14:textFill>
        <w14:solidFill>
          <w14:schemeClr w14:val="accent1"/>
        </w14:solidFill>
      </w14:textFill>
    </w:rPr>
  </w:style>
  <w:style w:type="character" w:customStyle="1" w:styleId="159">
    <w:name w:val="Subtle Emphasis"/>
    <w:basedOn w:val="139"/>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9"/>
    <w:qFormat/>
    <w:uiPriority w:val="21"/>
    <w:rPr>
      <w:b/>
      <w:bCs/>
      <w:i/>
      <w:iCs/>
      <w:color w:val="4874CB" w:themeColor="accent1"/>
      <w14:textFill>
        <w14:solidFill>
          <w14:schemeClr w14:val="accent1"/>
        </w14:solidFill>
      </w14:textFill>
    </w:rPr>
  </w:style>
  <w:style w:type="character" w:customStyle="1" w:styleId="161">
    <w:name w:val="Subtle Reference"/>
    <w:basedOn w:val="139"/>
    <w:qFormat/>
    <w:uiPriority w:val="31"/>
    <w:rPr>
      <w:smallCaps/>
      <w:color w:val="EE822F" w:themeColor="accent2"/>
      <w:u w:val="single"/>
      <w14:textFill>
        <w14:solidFill>
          <w14:schemeClr w14:val="accent2"/>
        </w14:solidFill>
      </w14:textFill>
    </w:rPr>
  </w:style>
  <w:style w:type="character" w:customStyle="1" w:styleId="162">
    <w:name w:val="Intense Reference"/>
    <w:basedOn w:val="139"/>
    <w:qFormat/>
    <w:uiPriority w:val="32"/>
    <w:rPr>
      <w:b/>
      <w:bCs/>
      <w:smallCaps/>
      <w:color w:val="EE822F" w:themeColor="accent2"/>
      <w:spacing w:val="5"/>
      <w:u w:val="single"/>
      <w14:textFill>
        <w14:solidFill>
          <w14:schemeClr w14:val="accent2"/>
        </w14:solidFill>
      </w14:textFill>
    </w:rPr>
  </w:style>
  <w:style w:type="character" w:customStyle="1" w:styleId="163">
    <w:name w:val="Book Title"/>
    <w:basedOn w:val="139"/>
    <w:qFormat/>
    <w:uiPriority w:val="33"/>
    <w:rPr>
      <w:b/>
      <w:bCs/>
      <w:smallCaps/>
      <w:spacing w:val="5"/>
    </w:rPr>
  </w:style>
  <w:style w:type="paragraph" w:customStyle="1" w:styleId="164">
    <w:name w:val="TOC Heading"/>
    <w:basedOn w:val="3"/>
    <w:next w:val="1"/>
    <w:semiHidden/>
    <w:unhideWhenUsed/>
    <w:qFormat/>
    <w:uiPriority w:val="39"/>
    <w:pPr>
      <w:outlineLvl w:val="9"/>
    </w:pPr>
  </w:style>
  <w:style w:type="paragraph" w:customStyle="1" w:styleId="165">
    <w:name w:val="附录标题"/>
    <w:next w:val="1"/>
    <w:uiPriority w:val="0"/>
    <w:pPr>
      <w:widowControl w:val="0"/>
      <w:adjustRightInd w:val="0"/>
      <w:spacing w:before="100" w:after="100" w:line="360" w:lineRule="auto"/>
      <w:jc w:val="both"/>
      <w:outlineLvl w:val="0"/>
    </w:pPr>
    <w:rPr>
      <w:rFonts w:ascii="Times New Roman" w:hAnsi="Times New Roman" w:eastAsia="黑体" w:cs="Times New Roman"/>
      <w:color w:val="000000"/>
      <w:kern w:val="44"/>
      <w:sz w:val="36"/>
      <w:szCs w:val="44"/>
      <w:lang w:bidi="ar-SA"/>
    </w:rPr>
  </w:style>
  <w:style w:type="paragraph" w:customStyle="1" w:styleId="166">
    <w:name w:val="章标题"/>
    <w:next w:val="1"/>
    <w:uiPriority w:val="0"/>
    <w:pPr>
      <w:widowControl w:val="0"/>
      <w:adjustRightInd w:val="0"/>
      <w:spacing w:before="100" w:after="100" w:line="360" w:lineRule="auto"/>
      <w:jc w:val="center"/>
      <w:outlineLvl w:val="0"/>
    </w:pPr>
    <w:rPr>
      <w:rFonts w:ascii="Times New Roman" w:hAnsi="Times New Roman" w:eastAsia="黑体" w:cs="Times New Roman"/>
      <w:kern w:val="44"/>
      <w:sz w:val="36"/>
      <w:szCs w:val="44"/>
      <w:lang w:bidi="ar-SA"/>
    </w:rPr>
  </w:style>
  <w:style w:type="paragraph" w:customStyle="1" w:styleId="167">
    <w:name w:val="题注1"/>
    <w:next w:val="1"/>
    <w:uiPriority w:val="0"/>
    <w:pPr>
      <w:widowControl w:val="0"/>
      <w:adjustRightInd w:val="0"/>
      <w:spacing w:before="240" w:after="120" w:line="288" w:lineRule="auto"/>
      <w:jc w:val="center"/>
    </w:pPr>
    <w:rPr>
      <w:rFonts w:ascii="Times New Roman" w:hAnsi="Times New Roman" w:eastAsia="宋体" w:cs="宋体"/>
      <w:kern w:val="2"/>
      <w:sz w:val="24"/>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16</TotalTime>
  <ScaleCrop>false</ScaleCrop>
  <LinksUpToDate>false</LinksUpToDate>
  <CharactersWithSpaces>0</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2013-12-24T07:15:00Z</dcterms:created>
  <dc:creator>python-docx</dc:creator>
  <dc:description>generated by python-docx</dc:description>
  <cp:lastModifiedBy>Hypo</cp:lastModifiedBy>
  <dcterms:modified xsi:type="dcterms:W3CDTF">2026-07-08T21:46:00Z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0FAB880D02AF3D2EBD504E6AD343E640_42</vt:lpwstr>
  </property>
</Properties>
</file>